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493FE8F8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58B92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8B4E85">
        <w:rPr>
          <w:rFonts w:eastAsia="Dotum"/>
          <w:b/>
          <w:bCs/>
          <w:noProof/>
          <w:sz w:val="24"/>
          <w:szCs w:val="18"/>
        </w:rPr>
        <w:t xml:space="preserve"> Meeting #11</w:t>
      </w:r>
      <w:r w:rsidR="00EF7D3A">
        <w:rPr>
          <w:rFonts w:eastAsia="Dotum"/>
          <w:b/>
          <w:bCs/>
          <w:noProof/>
          <w:sz w:val="24"/>
          <w:szCs w:val="18"/>
        </w:rPr>
        <w:t>9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1159D3">
        <w:rPr>
          <w:rFonts w:eastAsia="Dotum"/>
          <w:b/>
          <w:bCs/>
          <w:noProof/>
          <w:sz w:val="24"/>
          <w:szCs w:val="18"/>
        </w:rPr>
        <w:t>R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1159D3">
        <w:rPr>
          <w:rFonts w:eastAsia="Dotum"/>
          <w:b/>
          <w:bCs/>
          <w:noProof/>
          <w:sz w:val="24"/>
          <w:szCs w:val="18"/>
        </w:rPr>
        <w:t>-</w:t>
      </w:r>
      <w:r w:rsidR="00305166" w:rsidRPr="00305166">
        <w:rPr>
          <w:rFonts w:eastAsia="Dotum"/>
          <w:b/>
          <w:bCs/>
          <w:noProof/>
          <w:sz w:val="24"/>
          <w:szCs w:val="18"/>
        </w:rPr>
        <w:t>2</w:t>
      </w:r>
      <w:r w:rsidR="00EF7D3A">
        <w:rPr>
          <w:rFonts w:eastAsia="Dotum"/>
          <w:b/>
          <w:bCs/>
          <w:noProof/>
          <w:sz w:val="24"/>
          <w:szCs w:val="18"/>
        </w:rPr>
        <w:t>3</w:t>
      </w:r>
      <w:r w:rsidR="001475A6">
        <w:rPr>
          <w:rFonts w:eastAsia="Dotum"/>
          <w:b/>
          <w:bCs/>
          <w:noProof/>
          <w:sz w:val="24"/>
          <w:szCs w:val="18"/>
        </w:rPr>
        <w:t>0136</w:t>
      </w:r>
    </w:p>
    <w:p w14:paraId="3FE9AE62" w14:textId="34CDAFDA" w:rsidR="0097006C" w:rsidRDefault="00EF7D3A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>
        <w:rPr>
          <w:rFonts w:cs="SimHei"/>
          <w:b/>
          <w:sz w:val="24"/>
          <w:szCs w:val="22"/>
        </w:rPr>
        <w:t>Athens</w:t>
      </w:r>
      <w:r w:rsidR="00FA58CB">
        <w:rPr>
          <w:rFonts w:cs="SimHei"/>
          <w:b/>
          <w:sz w:val="24"/>
          <w:szCs w:val="22"/>
        </w:rPr>
        <w:t xml:space="preserve">, </w:t>
      </w:r>
      <w:r w:rsidR="00D6596D">
        <w:rPr>
          <w:rFonts w:cs="SimHei"/>
          <w:b/>
          <w:sz w:val="24"/>
          <w:szCs w:val="22"/>
        </w:rPr>
        <w:t>Greece</w:t>
      </w:r>
      <w:r w:rsidR="007126F6" w:rsidRPr="005201CD">
        <w:rPr>
          <w:rFonts w:cs="SimHei"/>
          <w:b/>
          <w:sz w:val="24"/>
          <w:szCs w:val="22"/>
        </w:rPr>
        <w:t xml:space="preserve">, </w:t>
      </w:r>
      <w:r>
        <w:rPr>
          <w:b/>
          <w:bCs/>
          <w:sz w:val="24"/>
        </w:rPr>
        <w:t>Feb</w:t>
      </w:r>
      <w:r w:rsidR="00832A14">
        <w:rPr>
          <w:b/>
          <w:bCs/>
          <w:sz w:val="24"/>
        </w:rPr>
        <w:t xml:space="preserve">. </w:t>
      </w:r>
      <w:r>
        <w:rPr>
          <w:b/>
          <w:bCs/>
          <w:sz w:val="24"/>
        </w:rPr>
        <w:t>27</w:t>
      </w:r>
      <w:r w:rsidR="008401FA">
        <w:rPr>
          <w:b/>
          <w:bCs/>
          <w:sz w:val="24"/>
          <w:vertAlign w:val="superscript"/>
        </w:rPr>
        <w:t>th</w:t>
      </w:r>
      <w:r w:rsidR="00832A14">
        <w:rPr>
          <w:b/>
          <w:bCs/>
          <w:sz w:val="24"/>
        </w:rPr>
        <w:t xml:space="preserve"> </w:t>
      </w:r>
      <w:r w:rsidR="007126F6" w:rsidRPr="005201CD">
        <w:rPr>
          <w:b/>
          <w:sz w:val="24"/>
        </w:rPr>
        <w:t xml:space="preserve">– </w:t>
      </w:r>
      <w:r>
        <w:rPr>
          <w:b/>
          <w:sz w:val="24"/>
        </w:rPr>
        <w:t>Mar</w:t>
      </w:r>
      <w:r w:rsidR="00832A14">
        <w:rPr>
          <w:b/>
          <w:sz w:val="24"/>
        </w:rPr>
        <w:t xml:space="preserve">. </w:t>
      </w:r>
      <w:r w:rsidR="00D6596D">
        <w:rPr>
          <w:b/>
          <w:bCs/>
          <w:sz w:val="24"/>
        </w:rPr>
        <w:t>3</w:t>
      </w:r>
      <w:r w:rsidR="00D6596D">
        <w:rPr>
          <w:b/>
          <w:bCs/>
          <w:sz w:val="24"/>
          <w:vertAlign w:val="superscript"/>
        </w:rPr>
        <w:t>rd</w:t>
      </w:r>
      <w:r w:rsidR="007126F6" w:rsidRPr="005201CD">
        <w:rPr>
          <w:b/>
          <w:sz w:val="24"/>
        </w:rPr>
        <w:t>,</w:t>
      </w:r>
      <w:r w:rsidR="007668BB" w:rsidRPr="005201CD">
        <w:rPr>
          <w:rFonts w:cs="SimHei"/>
          <w:b/>
          <w:sz w:val="24"/>
          <w:szCs w:val="22"/>
        </w:rPr>
        <w:t xml:space="preserve"> 202</w:t>
      </w:r>
      <w:r>
        <w:rPr>
          <w:rFonts w:cs="SimHei"/>
          <w:b/>
          <w:sz w:val="24"/>
          <w:szCs w:val="22"/>
        </w:rPr>
        <w:t>3</w:t>
      </w:r>
      <w:r w:rsidR="005201CD">
        <w:rPr>
          <w:sz w:val="24"/>
        </w:rPr>
        <w:tab/>
      </w:r>
    </w:p>
    <w:p w14:paraId="02D3C0A5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109221A8" w14:textId="4B4FA862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073FEF">
        <w:rPr>
          <w:b w:val="0"/>
        </w:rPr>
        <w:t>13.</w:t>
      </w:r>
      <w:r w:rsidR="00FA58CB">
        <w:rPr>
          <w:b w:val="0"/>
        </w:rPr>
        <w:t>2</w:t>
      </w:r>
    </w:p>
    <w:p w14:paraId="5121E7D9" w14:textId="77777777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1CC85B0F" w14:textId="34925971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0C5904">
        <w:rPr>
          <w:rFonts w:cs="SimHei"/>
          <w:bCs/>
          <w:sz w:val="24"/>
        </w:rPr>
        <w:t xml:space="preserve">Discussion on the </w:t>
      </w:r>
      <w:r w:rsidR="00864C78">
        <w:rPr>
          <w:rFonts w:cs="SimHei"/>
          <w:bCs/>
          <w:sz w:val="22"/>
        </w:rPr>
        <w:t xml:space="preserve">DU </w:t>
      </w:r>
      <w:r w:rsidR="000C5904">
        <w:rPr>
          <w:rFonts w:cs="SimHei"/>
          <w:bCs/>
          <w:sz w:val="22"/>
        </w:rPr>
        <w:t>M</w:t>
      </w:r>
      <w:r w:rsidR="00864C78">
        <w:rPr>
          <w:rFonts w:cs="SimHei"/>
          <w:bCs/>
          <w:sz w:val="22"/>
        </w:rPr>
        <w:t xml:space="preserve">igration </w:t>
      </w:r>
      <w:r w:rsidR="000C5904">
        <w:rPr>
          <w:rFonts w:cs="SimHei"/>
          <w:bCs/>
          <w:sz w:val="22"/>
        </w:rPr>
        <w:t xml:space="preserve">of </w:t>
      </w:r>
      <w:r w:rsidR="00073FEF">
        <w:rPr>
          <w:rFonts w:cs="SimHei"/>
          <w:bCs/>
          <w:sz w:val="22"/>
        </w:rPr>
        <w:t>Mobile IAB</w:t>
      </w:r>
      <w:r w:rsidR="000C5904">
        <w:rPr>
          <w:rFonts w:cs="SimHei"/>
          <w:bCs/>
          <w:sz w:val="22"/>
        </w:rPr>
        <w:t>-node</w:t>
      </w:r>
    </w:p>
    <w:p w14:paraId="4D59FF27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109E578F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2591BB01" w14:textId="06EF63C7" w:rsidR="00832A14" w:rsidRPr="00167EEA" w:rsidRDefault="00832A14" w:rsidP="00EF7D3A">
      <w:pPr>
        <w:spacing w:line="360" w:lineRule="auto"/>
        <w:rPr>
          <w:rFonts w:ascii="Times New Roman" w:hAnsi="Times New Roman"/>
          <w:lang w:val="en-GB" w:eastAsia="ko-KR"/>
        </w:rPr>
      </w:pPr>
      <w:r w:rsidRPr="00832A14">
        <w:rPr>
          <w:rFonts w:ascii="Times New Roman" w:hAnsi="Times New Roman"/>
          <w:lang w:val="en-GB"/>
        </w:rPr>
        <w:t xml:space="preserve">In this paper, we </w:t>
      </w:r>
      <w:r w:rsidR="00167EEA">
        <w:rPr>
          <w:rFonts w:ascii="Times New Roman" w:hAnsi="Times New Roman"/>
          <w:lang w:val="en-GB"/>
        </w:rPr>
        <w:t xml:space="preserve">discuss the </w:t>
      </w:r>
      <w:r w:rsidR="00E24AA5">
        <w:rPr>
          <w:rFonts w:ascii="Times New Roman" w:hAnsi="Times New Roman"/>
          <w:lang w:val="en-GB"/>
        </w:rPr>
        <w:t>DU migration of a mobile IAB-node</w:t>
      </w:r>
      <w:r w:rsidR="00952E72">
        <w:rPr>
          <w:rFonts w:ascii="Times New Roman" w:hAnsi="Times New Roman"/>
          <w:lang w:val="en-GB"/>
        </w:rPr>
        <w:t xml:space="preserve"> and its decoupling with the co-located MT</w:t>
      </w:r>
      <w:r w:rsidR="00062939">
        <w:rPr>
          <w:rFonts w:ascii="Times New Roman" w:hAnsi="Times New Roman"/>
          <w:lang w:val="en-GB"/>
        </w:rPr>
        <w:t xml:space="preserve"> handover</w:t>
      </w:r>
      <w:r w:rsidR="00952E72">
        <w:rPr>
          <w:rFonts w:ascii="Times New Roman" w:hAnsi="Times New Roman"/>
          <w:lang w:val="en-GB"/>
        </w:rPr>
        <w:t>.</w:t>
      </w:r>
      <w:r w:rsidR="00E24AA5">
        <w:rPr>
          <w:rFonts w:ascii="Times New Roman" w:hAnsi="Times New Roman"/>
          <w:lang w:val="en-GB"/>
        </w:rPr>
        <w:t xml:space="preserve"> The discussion is based on </w:t>
      </w:r>
      <w:r w:rsidR="00167EEA">
        <w:rPr>
          <w:rFonts w:ascii="Times New Roman" w:hAnsi="Times New Roman"/>
          <w:lang w:val="en-GB" w:eastAsia="ko-KR"/>
        </w:rPr>
        <w:t xml:space="preserve">the following agreements </w:t>
      </w:r>
      <w:r w:rsidR="00201F60">
        <w:rPr>
          <w:rFonts w:ascii="Times New Roman" w:hAnsi="Times New Roman"/>
          <w:lang w:val="en-GB" w:eastAsia="ko-KR"/>
        </w:rPr>
        <w:t xml:space="preserve">made </w:t>
      </w:r>
      <w:r w:rsidR="00167EEA">
        <w:rPr>
          <w:rFonts w:ascii="Times New Roman" w:hAnsi="Times New Roman"/>
          <w:lang w:val="en-GB" w:eastAsia="ko-KR"/>
        </w:rPr>
        <w:t>at the previous RAN3 meeting</w:t>
      </w:r>
      <w:r w:rsidR="00E24AA5">
        <w:rPr>
          <w:rFonts w:ascii="Times New Roman" w:hAnsi="Times New Roman"/>
          <w:lang w:val="en-GB" w:eastAsia="ko-KR"/>
        </w:rPr>
        <w:t>s</w:t>
      </w:r>
      <w:r w:rsidR="00167EEA">
        <w:rPr>
          <w:rFonts w:ascii="Times New Roman" w:hAnsi="Times New Roman"/>
          <w:lang w:val="en-GB" w:eastAsia="ko-KR"/>
        </w:rPr>
        <w:t xml:space="preserve"> [</w:t>
      </w:r>
      <w:r w:rsidR="00650EA3">
        <w:rPr>
          <w:rFonts w:ascii="Times New Roman" w:hAnsi="Times New Roman"/>
          <w:lang w:val="en-GB" w:eastAsia="ko-KR"/>
        </w:rPr>
        <w:t>1</w:t>
      </w:r>
      <w:r w:rsidR="00167EEA">
        <w:rPr>
          <w:rFonts w:ascii="Times New Roman" w:hAnsi="Times New Roman"/>
          <w:lang w:val="en-GB" w:eastAsia="ko-KR"/>
        </w:rPr>
        <w:t>]</w:t>
      </w:r>
      <w:r w:rsidR="00EF7D3A">
        <w:rPr>
          <w:rFonts w:ascii="Times New Roman" w:hAnsi="Times New Roman"/>
          <w:lang w:val="en-GB" w:eastAsia="ko-KR"/>
        </w:rPr>
        <w:t>, [2]</w:t>
      </w:r>
      <w:r w:rsidR="00E24AA5">
        <w:rPr>
          <w:rFonts w:ascii="Times New Roman" w:hAnsi="Times New Roman"/>
          <w:lang w:val="en-GB" w:eastAsia="ko-KR"/>
        </w:rPr>
        <w:t xml:space="preserve"> and [</w:t>
      </w:r>
      <w:r w:rsidR="00EF7D3A">
        <w:rPr>
          <w:rFonts w:ascii="Times New Roman" w:hAnsi="Times New Roman"/>
          <w:lang w:val="en-GB" w:eastAsia="ko-KR"/>
        </w:rPr>
        <w:t>3</w:t>
      </w:r>
      <w:r w:rsidR="00E24AA5">
        <w:rPr>
          <w:rFonts w:ascii="Times New Roman" w:hAnsi="Times New Roman"/>
          <w:lang w:val="en-GB" w:eastAsia="ko-KR"/>
        </w:rPr>
        <w:t>]</w:t>
      </w:r>
      <w:r w:rsidR="00167EEA">
        <w:rPr>
          <w:rFonts w:ascii="Times New Roman" w:hAnsi="Times New Roman"/>
          <w:lang w:val="en-GB"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6D4F02BF" w14:textId="77777777" w:rsidTr="00D0382F">
        <w:tc>
          <w:tcPr>
            <w:tcW w:w="9855" w:type="dxa"/>
          </w:tcPr>
          <w:p w14:paraId="299E13E9" w14:textId="31AFED9A" w:rsidR="00650EA3" w:rsidRPr="00650EA3" w:rsidRDefault="00650EA3" w:rsidP="00650EA3">
            <w:p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lang w:val="en-GB"/>
              </w:rPr>
              <w:t>At RAN3#117:</w:t>
            </w:r>
          </w:p>
          <w:p w14:paraId="67D9D239" w14:textId="77777777" w:rsidR="008711B2" w:rsidRPr="008711B2" w:rsidRDefault="008711B2" w:rsidP="008711B2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8711B2">
              <w:rPr>
                <w:rFonts w:ascii="Times New Roman" w:hAnsi="Times New Roman"/>
                <w:sz w:val="20"/>
                <w:szCs w:val="20"/>
                <w:lang w:val="en-GB"/>
              </w:rPr>
              <w:t>RAN3 to discuss whether a mobile IAB-DU can execute inter-donor migration, while the co-located mobile IAB-MT stays connected to the same donor before and after the mobile IAB-DU migration.</w:t>
            </w:r>
          </w:p>
          <w:p w14:paraId="726EBCEC" w14:textId="77777777" w:rsidR="008711B2" w:rsidRPr="008711B2" w:rsidRDefault="008711B2" w:rsidP="008711B2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  <w:lang w:val="en-GB"/>
              </w:rPr>
            </w:pPr>
            <w:r w:rsidRPr="008711B2">
              <w:rPr>
                <w:rFonts w:ascii="Times New Roman" w:hAnsi="Times New Roman"/>
                <w:sz w:val="20"/>
                <w:szCs w:val="20"/>
                <w:lang w:val="en-GB"/>
              </w:rPr>
              <w:t>RAN3 to discuss whether a mobile IAB-DU can execute inter-donor migration, while the co-located mobile IAB-MT executes inter-donor migration.</w:t>
            </w:r>
          </w:p>
          <w:p w14:paraId="17E3E4AA" w14:textId="279DF939" w:rsidR="00650EA3" w:rsidRPr="00650EA3" w:rsidRDefault="00650EA3" w:rsidP="008711B2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sz w:val="20"/>
                <w:szCs w:val="20"/>
                <w:lang w:val="en-GB"/>
              </w:rPr>
              <w:t>The mobile IAB-node may perform multiple consecutive partial migrations without inter-donor migration of its mobile IAB-DU.</w:t>
            </w:r>
          </w:p>
          <w:p w14:paraId="2D454B38" w14:textId="77777777" w:rsidR="00650EA3" w:rsidRPr="00650EA3" w:rsidRDefault="00650EA3" w:rsidP="00650EA3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sz w:val="20"/>
                <w:szCs w:val="20"/>
                <w:lang w:val="en-GB"/>
              </w:rPr>
              <w:t>For DU migration cases, to execute the handover of the served UEs, the mobile IAB-node concurrently supports two logical mobile IAB-DUs, which have F1AP associations with the source CU and the target CU, respectively.</w:t>
            </w:r>
          </w:p>
          <w:p w14:paraId="4E36800C" w14:textId="77777777" w:rsidR="00650EA3" w:rsidRPr="00650EA3" w:rsidRDefault="00650EA3" w:rsidP="00650EA3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</w:rPr>
            </w:pPr>
            <w:r w:rsidRPr="00650EA3">
              <w:rPr>
                <w:rFonts w:ascii="Times New Roman" w:hAnsi="Times New Roman"/>
                <w:sz w:val="20"/>
                <w:szCs w:val="20"/>
                <w:lang w:val="en-GB"/>
              </w:rPr>
              <w:t>The UEs connected to the mobile IAB-node are handed over from the cell of the logical mobile IAB-DU (i.e., the source logical mobile IAB-DU) that has an F1AP association with the source CU to the cell of the logical mobile IAB-DU (i.e., the target logical mobile IAB-DU) that has an F1AP association with the target CU.</w:t>
            </w:r>
          </w:p>
          <w:p w14:paraId="1BDB1EDC" w14:textId="77777777" w:rsidR="00650EA3" w:rsidRPr="00650EA3" w:rsidRDefault="00650EA3" w:rsidP="00650EA3">
            <w:p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lang w:val="en-GB"/>
              </w:rPr>
              <w:t>At RAN3#117bis:</w:t>
            </w:r>
          </w:p>
          <w:p w14:paraId="403B90E0" w14:textId="77777777" w:rsidR="00650EA3" w:rsidRPr="00650EA3" w:rsidRDefault="00650EA3" w:rsidP="00650EA3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lang w:val="en-GB"/>
              </w:rPr>
              <w:t>mIAB-DU migration and mIAB-MT handover can be executed independently from each other. Details on the scenarios need to be further discussed</w:t>
            </w:r>
          </w:p>
          <w:p w14:paraId="4831A8A2" w14:textId="77777777" w:rsidR="00650EA3" w:rsidRPr="00650EA3" w:rsidRDefault="00650EA3" w:rsidP="00650EA3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lang w:val="en-GB"/>
              </w:rPr>
              <w:t>For partial migration of mIAB-node, the inter-donor HO of mIAB-MT is decided and triggered by the donor CU serving the mIAB-MT.</w:t>
            </w:r>
          </w:p>
          <w:p w14:paraId="341F1EBA" w14:textId="77777777" w:rsidR="00650EA3" w:rsidRPr="00650EA3" w:rsidRDefault="00650EA3" w:rsidP="00650EA3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lang w:val="en-GB"/>
              </w:rPr>
              <w:t>The donor CU serving the mIAB-DU decides whether to execute mIAB-DU migration or inter-donor F1 transport migration for the mIAB-DU.</w:t>
            </w:r>
          </w:p>
          <w:p w14:paraId="31BF0579" w14:textId="77777777" w:rsidR="00650EA3" w:rsidRDefault="00650EA3" w:rsidP="00952E72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lang w:val="en-GB"/>
              </w:rPr>
              <w:t>For inter-donor partial migration, the donor CU serving the mIAB-DU is informed about the mIAB-MT HO. FFS on signalling details concerning the indication.</w:t>
            </w:r>
          </w:p>
          <w:p w14:paraId="0DBBCC61" w14:textId="77777777" w:rsidR="00EF7D3A" w:rsidRDefault="00201F60" w:rsidP="00EF7D3A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 w:rsidRPr="00201F60">
              <w:rPr>
                <w:rFonts w:ascii="Times New Roman" w:hAnsi="Times New Roman"/>
                <w:lang w:val="en-GB"/>
              </w:rPr>
              <w:t>For partial migration of mIAB-node, the donor CU serving the mIAB-DU and the target donor CU for the mIAB-MT HO can directly exchange Xn IAB Transport Migration messages, in case direct Xn connectivity exists (or is established) between the two donor CUs.</w:t>
            </w:r>
          </w:p>
          <w:p w14:paraId="1CCD93D5" w14:textId="77777777" w:rsidR="00EF7D3A" w:rsidRDefault="00EF7D3A" w:rsidP="00EF7D3A">
            <w:p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At RAN3#118:</w:t>
            </w:r>
          </w:p>
          <w:p w14:paraId="704B95C6" w14:textId="787AB5BD" w:rsidR="00EF7D3A" w:rsidRPr="00634D69" w:rsidRDefault="00EF7D3A" w:rsidP="00EF7D3A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  <w:lang w:val="en-GB"/>
              </w:rPr>
            </w:pPr>
            <w:r w:rsidRPr="00EF7D3A">
              <w:rPr>
                <w:rFonts w:ascii="Times New Roman" w:hAnsi="Times New Roman"/>
                <w:sz w:val="20"/>
                <w:szCs w:val="20"/>
                <w:lang w:val="en-GB"/>
              </w:rPr>
              <w:t>WA: The mIAB-MT and its co-located mIAB-DU can be handed over/migrated to different donor CUs. This WA is subject to validation that the impact involved is affordable.</w:t>
            </w:r>
          </w:p>
          <w:p w14:paraId="169B1870" w14:textId="0005DA16" w:rsidR="005C3BCD" w:rsidRDefault="005C3BCD" w:rsidP="00EF7D3A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34D69">
              <w:rPr>
                <w:rFonts w:ascii="Times New Roman" w:hAnsi="Times New Roman"/>
                <w:sz w:val="20"/>
                <w:szCs w:val="20"/>
                <w:lang w:val="en-GB"/>
              </w:rPr>
              <w:t>In case the donor of the mIAB-DU decides the F1AP setup for DU migration, the donor of the mIAB-DU triggers via F1 signalling the IAB node to perform the F1 Setup procedure for the DU migration. An OAM based solution is not excluded.</w:t>
            </w:r>
          </w:p>
          <w:p w14:paraId="38E84B4F" w14:textId="77777777" w:rsidR="00C24D0D" w:rsidRPr="00F00BFA" w:rsidRDefault="00C24D0D" w:rsidP="00C24D0D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24D0D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The mIAB-MT’s source donor CU can send the info on the mIAB-MT’s target donor CU to the mIAB-DU’s donor CU after the completion of IAB-MT HO.</w:t>
            </w:r>
          </w:p>
          <w:p w14:paraId="78F8479F" w14:textId="00A79ABF" w:rsidR="00C24D0D" w:rsidRPr="00C24D0D" w:rsidRDefault="00C24D0D" w:rsidP="00C24D0D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24D0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mIAB-MT ID sent by the mIAB-MT’s source donor CU to the mIAB-DU’s donor CU is the </w:t>
            </w:r>
            <w:proofErr w:type="spellStart"/>
            <w:r w:rsidRPr="00C24D0D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C24D0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UE ID. FFS which donor generates this ID. </w:t>
            </w:r>
          </w:p>
          <w:p w14:paraId="7B8C28B3" w14:textId="67E08BDB" w:rsidR="00C24D0D" w:rsidRPr="00C24D0D" w:rsidRDefault="00C24D0D" w:rsidP="00C24D0D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24D0D">
              <w:rPr>
                <w:rFonts w:ascii="Times New Roman" w:hAnsi="Times New Roman"/>
                <w:sz w:val="20"/>
                <w:szCs w:val="20"/>
                <w:lang w:val="en-GB"/>
              </w:rPr>
              <w:t>The trigger for F1 setup between the mobile IAB-node’s second logical DU and its donor CU may be based on OAM or pre-configuration.</w:t>
            </w:r>
          </w:p>
          <w:p w14:paraId="18681DE1" w14:textId="0C8CA2F1" w:rsidR="00EF7D3A" w:rsidRPr="005C3BCD" w:rsidRDefault="00EF7D3A" w:rsidP="005C3BCD">
            <w:pPr>
              <w:spacing w:after="180"/>
              <w:ind w:right="-99"/>
              <w:rPr>
                <w:rFonts w:ascii="Times New Roman" w:hAnsi="Times New Roman"/>
                <w:lang w:val="en-GB"/>
              </w:rPr>
            </w:pPr>
          </w:p>
        </w:tc>
      </w:tr>
    </w:tbl>
    <w:p w14:paraId="0B295A91" w14:textId="77777777" w:rsidR="00616B70" w:rsidRDefault="00616B70" w:rsidP="00832A14">
      <w:pPr>
        <w:rPr>
          <w:rFonts w:ascii="Times New Roman" w:hAnsi="Times New Roman"/>
          <w:lang w:eastAsia="ko-KR"/>
        </w:rPr>
      </w:pPr>
    </w:p>
    <w:p w14:paraId="4C8425D8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04ACC004" w14:textId="77777777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07377271" w14:textId="3E0D4C01" w:rsidR="00C038D0" w:rsidRPr="00AD6066" w:rsidRDefault="004E7CE3" w:rsidP="00C038D0">
      <w:pPr>
        <w:pStyle w:val="Heading2"/>
      </w:pPr>
      <w:r>
        <w:t xml:space="preserve">Target donor-CU for mobile </w:t>
      </w:r>
      <w:r w:rsidR="005E08B6">
        <w:t>IAB-</w:t>
      </w:r>
      <w:r w:rsidR="00C038D0" w:rsidRPr="00AD6066">
        <w:t xml:space="preserve">DU </w:t>
      </w:r>
      <w:r w:rsidR="00F00BFA">
        <w:t>m</w:t>
      </w:r>
      <w:r w:rsidR="00C038D0" w:rsidRPr="00AD6066">
        <w:t>igration</w:t>
      </w:r>
    </w:p>
    <w:p w14:paraId="3FC39E26" w14:textId="2BBCF7F3" w:rsidR="005F0814" w:rsidRDefault="00544F2F" w:rsidP="00AC4E3D">
      <w:pPr>
        <w:rPr>
          <w:rFonts w:ascii="Times New Roman" w:hAnsi="Times New Roman"/>
        </w:rPr>
      </w:pPr>
      <w:r>
        <w:rPr>
          <w:rFonts w:ascii="Times New Roman" w:hAnsi="Times New Roman"/>
        </w:rPr>
        <w:t>It</w:t>
      </w:r>
      <w:r w:rsidR="00AC4E3D" w:rsidRPr="00AC4E3D">
        <w:rPr>
          <w:rFonts w:ascii="Times New Roman" w:hAnsi="Times New Roman"/>
        </w:rPr>
        <w:t xml:space="preserve"> can be noted that a mobile IAB-node can be partially migrated as other IAB-nodes according to </w:t>
      </w:r>
      <w:r>
        <w:rPr>
          <w:rFonts w:ascii="Times New Roman" w:hAnsi="Times New Roman"/>
        </w:rPr>
        <w:t>R</w:t>
      </w:r>
      <w:r w:rsidR="00AC4E3D" w:rsidRPr="00AC4E3D">
        <w:rPr>
          <w:rFonts w:ascii="Times New Roman" w:hAnsi="Times New Roman"/>
        </w:rPr>
        <w:t>elease 17</w:t>
      </w:r>
      <w:r w:rsidR="005F0814">
        <w:rPr>
          <w:rFonts w:ascii="Times New Roman" w:hAnsi="Times New Roman"/>
        </w:rPr>
        <w:t xml:space="preserve">. </w:t>
      </w:r>
      <w:r w:rsidR="00CB7798">
        <w:rPr>
          <w:rFonts w:ascii="Times New Roman" w:hAnsi="Times New Roman"/>
        </w:rPr>
        <w:t>Also</w:t>
      </w:r>
      <w:r w:rsidR="005F0814">
        <w:rPr>
          <w:rFonts w:ascii="Times New Roman" w:hAnsi="Times New Roman"/>
        </w:rPr>
        <w:t>, this</w:t>
      </w:r>
      <w:r w:rsidR="00AC4E3D" w:rsidRPr="00AC4E3D">
        <w:rPr>
          <w:rFonts w:ascii="Times New Roman" w:hAnsi="Times New Roman"/>
        </w:rPr>
        <w:t xml:space="preserve"> </w:t>
      </w:r>
      <w:r w:rsidR="00AC4E3D">
        <w:rPr>
          <w:rFonts w:ascii="Times New Roman" w:hAnsi="Times New Roman"/>
        </w:rPr>
        <w:t>m</w:t>
      </w:r>
      <w:r w:rsidR="009D2F81">
        <w:rPr>
          <w:rFonts w:ascii="Times New Roman" w:hAnsi="Times New Roman"/>
        </w:rPr>
        <w:t xml:space="preserve">obile </w:t>
      </w:r>
      <w:r w:rsidR="00AC4E3D">
        <w:rPr>
          <w:rFonts w:ascii="Times New Roman" w:hAnsi="Times New Roman"/>
        </w:rPr>
        <w:t xml:space="preserve">IAB-MT </w:t>
      </w:r>
      <w:r w:rsidR="009D2F81">
        <w:rPr>
          <w:rFonts w:ascii="Times New Roman" w:hAnsi="Times New Roman"/>
        </w:rPr>
        <w:t xml:space="preserve">(mIAB-MT) </w:t>
      </w:r>
      <w:r w:rsidR="00AC4E3D" w:rsidRPr="00AC4E3D">
        <w:rPr>
          <w:rFonts w:ascii="Times New Roman" w:hAnsi="Times New Roman"/>
        </w:rPr>
        <w:t>handover</w:t>
      </w:r>
      <w:r w:rsidR="005F0814">
        <w:rPr>
          <w:rFonts w:ascii="Times New Roman" w:hAnsi="Times New Roman"/>
        </w:rPr>
        <w:t xml:space="preserve"> is </w:t>
      </w:r>
      <w:r w:rsidR="00AC4E3D">
        <w:rPr>
          <w:rFonts w:ascii="Times New Roman" w:hAnsi="Times New Roman"/>
        </w:rPr>
        <w:t>driven by</w:t>
      </w:r>
      <w:r w:rsidR="00AC4E3D" w:rsidRPr="00AC4E3D">
        <w:rPr>
          <w:rFonts w:ascii="Times New Roman" w:hAnsi="Times New Roman"/>
        </w:rPr>
        <w:t xml:space="preserve"> the radio conditions</w:t>
      </w:r>
      <w:r w:rsidR="00AC4E3D">
        <w:rPr>
          <w:rFonts w:ascii="Times New Roman" w:hAnsi="Times New Roman"/>
        </w:rPr>
        <w:t>,</w:t>
      </w:r>
      <w:r w:rsidR="00AC4E3D" w:rsidRPr="00AC4E3D">
        <w:rPr>
          <w:rFonts w:ascii="Times New Roman" w:hAnsi="Times New Roman"/>
        </w:rPr>
        <w:t xml:space="preserve"> </w:t>
      </w:r>
      <w:r w:rsidR="005F0814">
        <w:rPr>
          <w:rFonts w:ascii="Times New Roman" w:hAnsi="Times New Roman"/>
        </w:rPr>
        <w:t xml:space="preserve">and it </w:t>
      </w:r>
      <w:r w:rsidR="00AC4E3D" w:rsidRPr="00AC4E3D">
        <w:rPr>
          <w:rFonts w:ascii="Times New Roman" w:hAnsi="Times New Roman"/>
        </w:rPr>
        <w:t xml:space="preserve">should not be delayed </w:t>
      </w:r>
      <w:r w:rsidR="00AC4E3D">
        <w:rPr>
          <w:rFonts w:ascii="Times New Roman" w:hAnsi="Times New Roman"/>
        </w:rPr>
        <w:t xml:space="preserve">to </w:t>
      </w:r>
      <w:r w:rsidR="005F0814">
        <w:rPr>
          <w:rFonts w:ascii="Times New Roman" w:hAnsi="Times New Roman"/>
        </w:rPr>
        <w:t xml:space="preserve">maintain backhaul connection and to </w:t>
      </w:r>
      <w:r w:rsidR="00AC4E3D">
        <w:rPr>
          <w:rFonts w:ascii="Times New Roman" w:hAnsi="Times New Roman"/>
        </w:rPr>
        <w:t>avoid service interruption</w:t>
      </w:r>
      <w:r w:rsidR="005F0814">
        <w:rPr>
          <w:rFonts w:ascii="Times New Roman" w:hAnsi="Times New Roman"/>
        </w:rPr>
        <w:t xml:space="preserve"> at the served UEs</w:t>
      </w:r>
      <w:r w:rsidR="00AC4E3D" w:rsidRPr="00AC4E3D">
        <w:rPr>
          <w:rFonts w:ascii="Times New Roman" w:hAnsi="Times New Roman"/>
        </w:rPr>
        <w:t>.</w:t>
      </w:r>
    </w:p>
    <w:p w14:paraId="41B2BC95" w14:textId="3631B36C" w:rsidR="005F0814" w:rsidRPr="00B70EBC" w:rsidRDefault="005F0814" w:rsidP="005F0814">
      <w:pPr>
        <w:rPr>
          <w:rFonts w:ascii="Times New Roman" w:hAnsi="Times New Roman"/>
          <w:b/>
          <w:bCs/>
        </w:rPr>
      </w:pPr>
      <w:bookmarkStart w:id="2" w:name="_Hlk125448690"/>
      <w:r w:rsidRPr="00B70EBC">
        <w:rPr>
          <w:rFonts w:ascii="Times New Roman" w:hAnsi="Times New Roman"/>
          <w:b/>
          <w:bCs/>
        </w:rPr>
        <w:t>Observation 1: A mIAB-MT handover should not be delayed to maintain backhaul connection and to avoid service interruption at the served UEs.</w:t>
      </w:r>
    </w:p>
    <w:bookmarkEnd w:id="2"/>
    <w:p w14:paraId="332D0B8F" w14:textId="6494AC43" w:rsidR="00AC4E3D" w:rsidRPr="00AC4E3D" w:rsidRDefault="005F0814" w:rsidP="00AC4E3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this first observation, </w:t>
      </w:r>
      <w:r w:rsidR="00AC4E3D" w:rsidRPr="00AC4E3D">
        <w:rPr>
          <w:rFonts w:ascii="Times New Roman" w:hAnsi="Times New Roman"/>
        </w:rPr>
        <w:t>it may happen that a mIAB-MT handover is triggered and executed</w:t>
      </w:r>
      <w:r w:rsidR="00AC4E3D">
        <w:rPr>
          <w:rFonts w:ascii="Times New Roman" w:hAnsi="Times New Roman"/>
        </w:rPr>
        <w:t xml:space="preserve"> </w:t>
      </w:r>
      <w:r w:rsidR="00AC4E3D" w:rsidRPr="00AC4E3D">
        <w:rPr>
          <w:rFonts w:ascii="Times New Roman" w:hAnsi="Times New Roman"/>
        </w:rPr>
        <w:t xml:space="preserve">while </w:t>
      </w:r>
      <w:r>
        <w:rPr>
          <w:rFonts w:ascii="Times New Roman" w:hAnsi="Times New Roman"/>
        </w:rPr>
        <w:t>a</w:t>
      </w:r>
      <w:r w:rsidR="00AC4E3D" w:rsidRPr="00AC4E3D">
        <w:rPr>
          <w:rFonts w:ascii="Times New Roman" w:hAnsi="Times New Roman"/>
        </w:rPr>
        <w:t xml:space="preserve"> </w:t>
      </w:r>
      <w:r w:rsidR="00AC4E3D">
        <w:rPr>
          <w:rFonts w:ascii="Times New Roman" w:hAnsi="Times New Roman"/>
        </w:rPr>
        <w:t xml:space="preserve">migration of the co-located </w:t>
      </w:r>
      <w:r w:rsidR="009D2F81">
        <w:rPr>
          <w:rFonts w:ascii="Times New Roman" w:hAnsi="Times New Roman"/>
        </w:rPr>
        <w:t xml:space="preserve">mobile </w:t>
      </w:r>
      <w:r w:rsidR="00AC4E3D" w:rsidRPr="00AC4E3D">
        <w:rPr>
          <w:rFonts w:ascii="Times New Roman" w:hAnsi="Times New Roman"/>
        </w:rPr>
        <w:t xml:space="preserve">IAB-DU </w:t>
      </w:r>
      <w:r w:rsidR="009D2F81">
        <w:rPr>
          <w:rFonts w:ascii="Times New Roman" w:hAnsi="Times New Roman"/>
        </w:rPr>
        <w:t xml:space="preserve">(mIAB-DU) </w:t>
      </w:r>
      <w:r w:rsidR="00AC4E3D" w:rsidRPr="00AC4E3D">
        <w:rPr>
          <w:rFonts w:ascii="Times New Roman" w:hAnsi="Times New Roman"/>
        </w:rPr>
        <w:t>is on-going</w:t>
      </w:r>
      <w:r>
        <w:rPr>
          <w:rFonts w:ascii="Times New Roman" w:hAnsi="Times New Roman"/>
        </w:rPr>
        <w:t xml:space="preserve">. </w:t>
      </w:r>
      <w:r w:rsidRPr="00AC4E3D">
        <w:rPr>
          <w:rFonts w:ascii="Times New Roman" w:hAnsi="Times New Roman"/>
        </w:rPr>
        <w:t xml:space="preserve">Thus, even if the target donor-CU for </w:t>
      </w:r>
      <w:r w:rsidR="00BF4C7D">
        <w:rPr>
          <w:rFonts w:ascii="Times New Roman" w:hAnsi="Times New Roman"/>
        </w:rPr>
        <w:t>the</w:t>
      </w:r>
      <w:r w:rsidRPr="00AC4E3D">
        <w:rPr>
          <w:rFonts w:ascii="Times New Roman" w:hAnsi="Times New Roman"/>
        </w:rPr>
        <w:t xml:space="preserve"> mIAB-DU migration is restricted to the mIAB-MT's donor-CU</w:t>
      </w:r>
      <w:r w:rsidR="00BF4C7D">
        <w:rPr>
          <w:rFonts w:ascii="Times New Roman" w:hAnsi="Times New Roman"/>
        </w:rPr>
        <w:t>, in some situations the F1 terminating</w:t>
      </w:r>
      <w:r w:rsidR="00BF4C7D" w:rsidRPr="00AC4E3D">
        <w:rPr>
          <w:rFonts w:ascii="Times New Roman" w:hAnsi="Times New Roman"/>
        </w:rPr>
        <w:t xml:space="preserve"> donor-CU </w:t>
      </w:r>
      <w:r w:rsidR="00BF4C7D">
        <w:rPr>
          <w:rFonts w:ascii="Times New Roman" w:hAnsi="Times New Roman"/>
        </w:rPr>
        <w:t xml:space="preserve">after the </w:t>
      </w:r>
      <w:r w:rsidR="00BF4C7D" w:rsidRPr="00AC4E3D">
        <w:rPr>
          <w:rFonts w:ascii="Times New Roman" w:hAnsi="Times New Roman"/>
        </w:rPr>
        <w:t xml:space="preserve">mIAB-DU </w:t>
      </w:r>
      <w:r w:rsidR="00BF4C7D">
        <w:rPr>
          <w:rFonts w:ascii="Times New Roman" w:hAnsi="Times New Roman"/>
        </w:rPr>
        <w:t xml:space="preserve">migration may </w:t>
      </w:r>
      <w:r w:rsidR="009D2F81">
        <w:rPr>
          <w:rFonts w:ascii="Times New Roman" w:hAnsi="Times New Roman"/>
        </w:rPr>
        <w:t xml:space="preserve">finally </w:t>
      </w:r>
      <w:r w:rsidR="00BF4C7D">
        <w:rPr>
          <w:rFonts w:ascii="Times New Roman" w:hAnsi="Times New Roman"/>
        </w:rPr>
        <w:t xml:space="preserve">be </w:t>
      </w:r>
      <w:r w:rsidR="00BF4C7D" w:rsidRPr="00AC4E3D">
        <w:rPr>
          <w:rFonts w:ascii="Times New Roman" w:hAnsi="Times New Roman"/>
        </w:rPr>
        <w:t xml:space="preserve">different from </w:t>
      </w:r>
      <w:r w:rsidR="00BF4C7D">
        <w:rPr>
          <w:rFonts w:ascii="Times New Roman" w:hAnsi="Times New Roman"/>
        </w:rPr>
        <w:t xml:space="preserve">the non-F1 terminating donor-CU after </w:t>
      </w:r>
      <w:r w:rsidR="00EA3EA5">
        <w:rPr>
          <w:rFonts w:ascii="Times New Roman" w:hAnsi="Times New Roman"/>
        </w:rPr>
        <w:t xml:space="preserve">handover of </w:t>
      </w:r>
      <w:r w:rsidR="00BF4C7D">
        <w:rPr>
          <w:rFonts w:ascii="Times New Roman" w:hAnsi="Times New Roman"/>
        </w:rPr>
        <w:t>the co-located mIAB-MT.</w:t>
      </w:r>
    </w:p>
    <w:p w14:paraId="622128E4" w14:textId="28C59E4F" w:rsidR="00AC4E3D" w:rsidRPr="00B70EBC" w:rsidRDefault="00544F2F" w:rsidP="00AC4E3D">
      <w:pPr>
        <w:rPr>
          <w:rFonts w:ascii="Times New Roman" w:hAnsi="Times New Roman"/>
          <w:b/>
          <w:bCs/>
        </w:rPr>
      </w:pPr>
      <w:r w:rsidRPr="00B70EBC">
        <w:rPr>
          <w:rFonts w:ascii="Times New Roman" w:hAnsi="Times New Roman"/>
          <w:b/>
          <w:bCs/>
        </w:rPr>
        <w:t xml:space="preserve">Observation </w:t>
      </w:r>
      <w:r w:rsidR="00BF4C7D" w:rsidRPr="00B70EBC">
        <w:rPr>
          <w:rFonts w:ascii="Times New Roman" w:hAnsi="Times New Roman"/>
          <w:b/>
          <w:bCs/>
        </w:rPr>
        <w:t>2</w:t>
      </w:r>
      <w:r w:rsidRPr="00B70EBC">
        <w:rPr>
          <w:rFonts w:ascii="Times New Roman" w:hAnsi="Times New Roman"/>
          <w:b/>
          <w:bCs/>
        </w:rPr>
        <w:t xml:space="preserve">: </w:t>
      </w:r>
      <w:r w:rsidR="00CB7798" w:rsidRPr="00B70EBC">
        <w:rPr>
          <w:rFonts w:ascii="Times New Roman" w:hAnsi="Times New Roman"/>
          <w:b/>
          <w:bCs/>
        </w:rPr>
        <w:t>Considering that</w:t>
      </w:r>
      <w:r w:rsidR="00AC4E3D" w:rsidRPr="00B70EBC">
        <w:rPr>
          <w:rFonts w:ascii="Times New Roman" w:hAnsi="Times New Roman"/>
          <w:b/>
          <w:bCs/>
        </w:rPr>
        <w:t xml:space="preserve"> </w:t>
      </w:r>
      <w:r w:rsidRPr="00B70EBC">
        <w:rPr>
          <w:rFonts w:ascii="Times New Roman" w:hAnsi="Times New Roman"/>
          <w:b/>
          <w:bCs/>
        </w:rPr>
        <w:t>a</w:t>
      </w:r>
      <w:r w:rsidR="00AC4E3D" w:rsidRPr="00B70EBC">
        <w:rPr>
          <w:rFonts w:ascii="Times New Roman" w:hAnsi="Times New Roman"/>
          <w:b/>
          <w:bCs/>
        </w:rPr>
        <w:t xml:space="preserve"> mIAB-MT handover should not be delayed </w:t>
      </w:r>
      <w:r w:rsidR="00BC6745">
        <w:rPr>
          <w:rFonts w:ascii="Times New Roman" w:hAnsi="Times New Roman"/>
          <w:b/>
          <w:bCs/>
        </w:rPr>
        <w:t xml:space="preserve">may </w:t>
      </w:r>
      <w:r w:rsidR="00BF4C7D" w:rsidRPr="00B70EBC">
        <w:rPr>
          <w:rFonts w:ascii="Times New Roman" w:hAnsi="Times New Roman"/>
          <w:b/>
          <w:bCs/>
        </w:rPr>
        <w:t>lead</w:t>
      </w:r>
      <w:r w:rsidR="00BC6745">
        <w:rPr>
          <w:rFonts w:ascii="Times New Roman" w:hAnsi="Times New Roman"/>
          <w:b/>
          <w:bCs/>
        </w:rPr>
        <w:t xml:space="preserve"> </w:t>
      </w:r>
      <w:r w:rsidR="00AC4E3D" w:rsidRPr="00B70EBC">
        <w:rPr>
          <w:rFonts w:ascii="Times New Roman" w:hAnsi="Times New Roman"/>
          <w:b/>
          <w:bCs/>
        </w:rPr>
        <w:t xml:space="preserve">to </w:t>
      </w:r>
      <w:r w:rsidR="00BC6745">
        <w:rPr>
          <w:rFonts w:ascii="Times New Roman" w:hAnsi="Times New Roman"/>
          <w:b/>
          <w:bCs/>
        </w:rPr>
        <w:t>situations where</w:t>
      </w:r>
      <w:r w:rsidRPr="00B70EBC">
        <w:rPr>
          <w:rFonts w:ascii="Times New Roman" w:hAnsi="Times New Roman"/>
          <w:b/>
          <w:bCs/>
        </w:rPr>
        <w:t xml:space="preserve"> </w:t>
      </w:r>
      <w:r w:rsidR="0029511D" w:rsidRPr="00B70EBC">
        <w:rPr>
          <w:rFonts w:ascii="Times New Roman" w:hAnsi="Times New Roman"/>
          <w:b/>
          <w:bCs/>
        </w:rPr>
        <w:t>a</w:t>
      </w:r>
      <w:r w:rsidRPr="00B70EBC">
        <w:rPr>
          <w:rFonts w:ascii="Times New Roman" w:hAnsi="Times New Roman"/>
          <w:b/>
          <w:bCs/>
        </w:rPr>
        <w:t xml:space="preserve"> mIAB-MT and its co-located mIAB-DU can be handed over/migrated to different donor CUs</w:t>
      </w:r>
      <w:r w:rsidR="009D2F81" w:rsidRPr="00B70EBC">
        <w:rPr>
          <w:rFonts w:ascii="Times New Roman" w:hAnsi="Times New Roman"/>
          <w:b/>
          <w:bCs/>
        </w:rPr>
        <w:t>.</w:t>
      </w:r>
    </w:p>
    <w:p w14:paraId="5C9A107D" w14:textId="70DF0944" w:rsidR="00CB7798" w:rsidRDefault="004E7CE3" w:rsidP="00CB779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Besides, </w:t>
      </w:r>
      <w:r w:rsidR="00672278" w:rsidRPr="00AC4E3D">
        <w:rPr>
          <w:rFonts w:ascii="Times New Roman" w:hAnsi="Times New Roman"/>
        </w:rPr>
        <w:t>the criteria for DU migration and MT handover differ: MT handover is driven by the radio conditions while</w:t>
      </w:r>
      <w:r w:rsidR="00CB7798">
        <w:rPr>
          <w:rFonts w:ascii="Times New Roman" w:hAnsi="Times New Roman"/>
        </w:rPr>
        <w:t xml:space="preserve"> </w:t>
      </w:r>
      <w:r w:rsidR="00672278" w:rsidRPr="00AC4E3D">
        <w:rPr>
          <w:rFonts w:ascii="Times New Roman" w:hAnsi="Times New Roman"/>
        </w:rPr>
        <w:t>DU migration decision may be based</w:t>
      </w:r>
      <w:r w:rsidR="009D2F81">
        <w:rPr>
          <w:rFonts w:ascii="Times New Roman" w:hAnsi="Times New Roman"/>
        </w:rPr>
        <w:t>, for instance,</w:t>
      </w:r>
      <w:r w:rsidR="00672278" w:rsidRPr="00AC4E3D">
        <w:rPr>
          <w:rFonts w:ascii="Times New Roman" w:hAnsi="Times New Roman"/>
        </w:rPr>
        <w:t xml:space="preserve"> on the available connectivity between donor-CUs and/or </w:t>
      </w:r>
      <w:r w:rsidR="00CB7798">
        <w:rPr>
          <w:rFonts w:ascii="Times New Roman" w:hAnsi="Times New Roman"/>
        </w:rPr>
        <w:t xml:space="preserve">for </w:t>
      </w:r>
      <w:r w:rsidR="00672278" w:rsidRPr="00AC4E3D">
        <w:rPr>
          <w:rFonts w:ascii="Times New Roman" w:hAnsi="Times New Roman"/>
        </w:rPr>
        <w:t>load balancing</w:t>
      </w:r>
      <w:r w:rsidR="00CB7798">
        <w:rPr>
          <w:rFonts w:ascii="Times New Roman" w:hAnsi="Times New Roman"/>
        </w:rPr>
        <w:t xml:space="preserve"> purpose</w:t>
      </w:r>
      <w:r w:rsidR="00672278" w:rsidRPr="00AC4E3D">
        <w:rPr>
          <w:rFonts w:ascii="Times New Roman" w:hAnsi="Times New Roman"/>
        </w:rPr>
        <w:t>.</w:t>
      </w:r>
    </w:p>
    <w:p w14:paraId="7DB7A75F" w14:textId="18B378C6" w:rsidR="0029511D" w:rsidRPr="00B70EBC" w:rsidRDefault="0029511D" w:rsidP="0029511D">
      <w:pPr>
        <w:rPr>
          <w:rFonts w:ascii="Times New Roman" w:hAnsi="Times New Roman"/>
          <w:b/>
          <w:bCs/>
        </w:rPr>
      </w:pPr>
      <w:r w:rsidRPr="00B70EBC">
        <w:rPr>
          <w:rFonts w:ascii="Times New Roman" w:hAnsi="Times New Roman"/>
          <w:b/>
          <w:bCs/>
        </w:rPr>
        <w:t xml:space="preserve">Observation 3: The criteria to select a target donor-CU for a mobile IAB-node depend on the migration type, </w:t>
      </w:r>
      <w:r w:rsidR="00C1251B">
        <w:rPr>
          <w:rFonts w:ascii="Times New Roman" w:hAnsi="Times New Roman"/>
          <w:b/>
          <w:bCs/>
        </w:rPr>
        <w:t xml:space="preserve">i.e., </w:t>
      </w:r>
      <w:r w:rsidRPr="00B70EBC">
        <w:rPr>
          <w:rFonts w:ascii="Times New Roman" w:hAnsi="Times New Roman"/>
          <w:b/>
          <w:bCs/>
        </w:rPr>
        <w:t xml:space="preserve">MT handover or DU </w:t>
      </w:r>
      <w:r w:rsidR="00B70EBC" w:rsidRPr="00B70EBC">
        <w:rPr>
          <w:rFonts w:ascii="Times New Roman" w:hAnsi="Times New Roman"/>
          <w:b/>
          <w:bCs/>
        </w:rPr>
        <w:t>migration</w:t>
      </w:r>
      <w:r w:rsidRPr="00B70EBC">
        <w:rPr>
          <w:rFonts w:ascii="Times New Roman" w:hAnsi="Times New Roman"/>
          <w:b/>
          <w:bCs/>
        </w:rPr>
        <w:t>.</w:t>
      </w:r>
    </w:p>
    <w:p w14:paraId="40ED803D" w14:textId="2E585E23" w:rsidR="00C038D0" w:rsidRDefault="009D2F81" w:rsidP="00C038D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Thus, </w:t>
      </w:r>
      <w:r w:rsidR="005C3BCD">
        <w:rPr>
          <w:rFonts w:ascii="Times New Roman" w:hAnsi="Times New Roman"/>
        </w:rPr>
        <w:t>according to the above observations</w:t>
      </w:r>
      <w:r w:rsidR="0029511D">
        <w:rPr>
          <w:rFonts w:ascii="Times New Roman" w:hAnsi="Times New Roman"/>
        </w:rPr>
        <w:t>,</w:t>
      </w:r>
      <w:r w:rsidR="005C3BCD">
        <w:rPr>
          <w:rFonts w:ascii="Times New Roman" w:hAnsi="Times New Roman"/>
        </w:rPr>
        <w:t xml:space="preserve"> </w:t>
      </w:r>
      <w:r w:rsidR="006F7191">
        <w:rPr>
          <w:rFonts w:ascii="Times New Roman" w:hAnsi="Times New Roman"/>
        </w:rPr>
        <w:t>it should be supported</w:t>
      </w:r>
      <w:r w:rsidR="00C1251B">
        <w:rPr>
          <w:rFonts w:ascii="Times New Roman" w:hAnsi="Times New Roman"/>
        </w:rPr>
        <w:t>,</w:t>
      </w:r>
      <w:r w:rsidR="006F7191">
        <w:rPr>
          <w:rFonts w:ascii="Times New Roman" w:hAnsi="Times New Roman"/>
        </w:rPr>
        <w:t xml:space="preserve"> for </w:t>
      </w:r>
      <w:r w:rsidR="006F7191" w:rsidRPr="005E08B6">
        <w:rPr>
          <w:rFonts w:ascii="Times New Roman" w:hAnsi="Times New Roman"/>
        </w:rPr>
        <w:t xml:space="preserve">flexible </w:t>
      </w:r>
      <w:r w:rsidR="006F7191">
        <w:rPr>
          <w:rFonts w:ascii="Times New Roman" w:hAnsi="Times New Roman"/>
        </w:rPr>
        <w:t xml:space="preserve">and smooth </w:t>
      </w:r>
      <w:r w:rsidR="006F7191" w:rsidRPr="005E08B6">
        <w:rPr>
          <w:rFonts w:ascii="Times New Roman" w:hAnsi="Times New Roman"/>
        </w:rPr>
        <w:t>IAB network management</w:t>
      </w:r>
      <w:r w:rsidR="00C1251B">
        <w:rPr>
          <w:rFonts w:ascii="Times New Roman" w:hAnsi="Times New Roman"/>
        </w:rPr>
        <w:t xml:space="preserve"> purpose</w:t>
      </w:r>
      <w:r w:rsidR="006F7191">
        <w:rPr>
          <w:rFonts w:ascii="Times New Roman" w:hAnsi="Times New Roman"/>
        </w:rPr>
        <w:t xml:space="preserve">, that </w:t>
      </w:r>
      <w:r w:rsidR="0029511D">
        <w:rPr>
          <w:rFonts w:ascii="Times New Roman" w:hAnsi="Times New Roman"/>
        </w:rPr>
        <w:t>a</w:t>
      </w:r>
      <w:r w:rsidRPr="009D2F81">
        <w:rPr>
          <w:rFonts w:ascii="Times New Roman" w:hAnsi="Times New Roman"/>
        </w:rPr>
        <w:t xml:space="preserve"> mIAB-MT and its co-located mIAB-DU </w:t>
      </w:r>
      <w:r w:rsidR="00C1251B">
        <w:rPr>
          <w:rFonts w:ascii="Times New Roman" w:hAnsi="Times New Roman"/>
        </w:rPr>
        <w:t xml:space="preserve">can </w:t>
      </w:r>
      <w:r w:rsidRPr="009D2F81">
        <w:rPr>
          <w:rFonts w:ascii="Times New Roman" w:hAnsi="Times New Roman"/>
        </w:rPr>
        <w:t>be handed over/migrated to different donor CUs</w:t>
      </w:r>
      <w:r w:rsidR="00CB7798">
        <w:rPr>
          <w:rFonts w:ascii="Times New Roman" w:hAnsi="Times New Roman"/>
        </w:rPr>
        <w:t xml:space="preserve">. </w:t>
      </w:r>
    </w:p>
    <w:p w14:paraId="4EEC4311" w14:textId="7FB8BADD" w:rsidR="00C43A1B" w:rsidRPr="00C43A1B" w:rsidRDefault="00C43A1B" w:rsidP="00C038D0">
      <w:pPr>
        <w:rPr>
          <w:rFonts w:ascii="Times New Roman" w:hAnsi="Times New Roman"/>
          <w:b/>
          <w:bCs/>
        </w:rPr>
      </w:pPr>
      <w:r w:rsidRPr="00C43A1B">
        <w:rPr>
          <w:rFonts w:ascii="Times New Roman" w:hAnsi="Times New Roman"/>
          <w:b/>
          <w:bCs/>
        </w:rPr>
        <w:t xml:space="preserve">Proposal </w:t>
      </w:r>
      <w:r w:rsidR="00CB7798">
        <w:rPr>
          <w:rFonts w:ascii="Times New Roman" w:hAnsi="Times New Roman"/>
          <w:b/>
          <w:bCs/>
        </w:rPr>
        <w:t>1</w:t>
      </w:r>
      <w:r w:rsidRPr="00C43A1B">
        <w:rPr>
          <w:rFonts w:ascii="Times New Roman" w:hAnsi="Times New Roman"/>
          <w:b/>
          <w:bCs/>
        </w:rPr>
        <w:t>: The IAB-DU of a mobile IAB-node may be migrated toward</w:t>
      </w:r>
      <w:r w:rsidR="00A71F3F">
        <w:rPr>
          <w:rFonts w:ascii="Times New Roman" w:hAnsi="Times New Roman"/>
          <w:b/>
          <w:bCs/>
        </w:rPr>
        <w:t>s</w:t>
      </w:r>
      <w:r w:rsidRPr="00C43A1B">
        <w:rPr>
          <w:rFonts w:ascii="Times New Roman" w:hAnsi="Times New Roman"/>
          <w:b/>
          <w:bCs/>
        </w:rPr>
        <w:t xml:space="preserve"> a target F1 terminating donor-CU different from the non-F1 terminating donor-CU serving the co-located IAB-MT.</w:t>
      </w:r>
    </w:p>
    <w:p w14:paraId="14CC67A2" w14:textId="44076C5E" w:rsidR="00DE33BA" w:rsidRDefault="00DE33BA" w:rsidP="00DE33BA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>Then, when the</w:t>
      </w:r>
      <w:r w:rsidRPr="00650EA3">
        <w:rPr>
          <w:rFonts w:ascii="Times New Roman" w:hAnsi="Times New Roman"/>
          <w:lang w:val="en-GB"/>
        </w:rPr>
        <w:t xml:space="preserve"> </w:t>
      </w:r>
      <w:bookmarkStart w:id="3" w:name="_Hlk117758947"/>
      <w:r>
        <w:rPr>
          <w:rFonts w:ascii="Times New Roman" w:hAnsi="Times New Roman"/>
          <w:lang w:val="en-GB"/>
        </w:rPr>
        <w:t xml:space="preserve">F1 </w:t>
      </w:r>
      <w:r w:rsidRPr="00650EA3">
        <w:rPr>
          <w:rFonts w:ascii="Times New Roman" w:hAnsi="Times New Roman"/>
          <w:lang w:val="en-GB"/>
        </w:rPr>
        <w:t xml:space="preserve">donor CU </w:t>
      </w:r>
      <w:bookmarkEnd w:id="3"/>
      <w:r w:rsidRPr="00650EA3">
        <w:rPr>
          <w:rFonts w:ascii="Times New Roman" w:hAnsi="Times New Roman"/>
          <w:lang w:val="en-GB"/>
        </w:rPr>
        <w:t xml:space="preserve">serving the </w:t>
      </w:r>
      <w:proofErr w:type="spellStart"/>
      <w:r w:rsidRPr="00650EA3">
        <w:rPr>
          <w:rFonts w:ascii="Times New Roman" w:hAnsi="Times New Roman"/>
          <w:lang w:val="en-GB"/>
        </w:rPr>
        <w:t>mIAB</w:t>
      </w:r>
      <w:proofErr w:type="spellEnd"/>
      <w:r w:rsidRPr="00650EA3">
        <w:rPr>
          <w:rFonts w:ascii="Times New Roman" w:hAnsi="Times New Roman"/>
          <w:lang w:val="en-GB"/>
        </w:rPr>
        <w:t xml:space="preserve">-DU decides whether to execute </w:t>
      </w:r>
      <w:proofErr w:type="spellStart"/>
      <w:r w:rsidRPr="00650EA3">
        <w:rPr>
          <w:rFonts w:ascii="Times New Roman" w:hAnsi="Times New Roman"/>
          <w:lang w:val="en-GB"/>
        </w:rPr>
        <w:t>mIAB</w:t>
      </w:r>
      <w:proofErr w:type="spellEnd"/>
      <w:r w:rsidRPr="00650EA3">
        <w:rPr>
          <w:rFonts w:ascii="Times New Roman" w:hAnsi="Times New Roman"/>
          <w:lang w:val="en-GB"/>
        </w:rPr>
        <w:t>-DU migration</w:t>
      </w:r>
      <w:r>
        <w:rPr>
          <w:rFonts w:ascii="Times New Roman" w:hAnsi="Times New Roman"/>
          <w:lang w:val="en-GB"/>
        </w:rPr>
        <w:t xml:space="preserve">, it may request the mobile IAB-node to activate a second logical DU to be served by a target F1 donor-CU identified in the request. </w:t>
      </w:r>
    </w:p>
    <w:p w14:paraId="00B0773D" w14:textId="77777777" w:rsidR="00DE33BA" w:rsidRPr="005E08B6" w:rsidRDefault="00DE33BA" w:rsidP="00DE33BA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For instance, the F1 donor-CU may trigger the </w:t>
      </w:r>
      <w:r w:rsidRPr="00866E47">
        <w:rPr>
          <w:rFonts w:ascii="Times New Roman" w:hAnsi="Times New Roman"/>
          <w:lang w:val="en-GB"/>
        </w:rPr>
        <w:t>gNB-CU Configuration Update procedure</w:t>
      </w:r>
      <w:r>
        <w:rPr>
          <w:rFonts w:ascii="Times New Roman" w:hAnsi="Times New Roman"/>
          <w:lang w:val="en-GB"/>
        </w:rPr>
        <w:t xml:space="preserve"> to request the mobile IAB-node to setup a new F1 connection with an identified target F1 donor-CU. Then, the activated logical DU triggers a F1 setup procedure with the target F1 donor-CU. In case the request from the F1 donor-CU does not identify a </w:t>
      </w:r>
      <w:r w:rsidRPr="00A87984">
        <w:rPr>
          <w:rFonts w:ascii="Times New Roman" w:hAnsi="Times New Roman"/>
          <w:lang w:val="en-GB"/>
        </w:rPr>
        <w:t>target F1 donor-CU</w:t>
      </w:r>
      <w:r>
        <w:rPr>
          <w:rFonts w:ascii="Times New Roman" w:hAnsi="Times New Roman"/>
          <w:lang w:val="en-GB"/>
        </w:rPr>
        <w:t xml:space="preserve">, then the activated logical DU triggers a F1 setup procedure with the </w:t>
      </w:r>
      <w:r w:rsidRPr="00A87984">
        <w:rPr>
          <w:rFonts w:ascii="Times New Roman" w:hAnsi="Times New Roman"/>
          <w:lang w:val="en-GB"/>
        </w:rPr>
        <w:t>non-F1 terminating donor-CU</w:t>
      </w:r>
      <w:r>
        <w:rPr>
          <w:rFonts w:ascii="Times New Roman" w:hAnsi="Times New Roman"/>
          <w:lang w:val="en-GB"/>
        </w:rPr>
        <w:t xml:space="preserve"> of the mobile IAB-node.</w:t>
      </w:r>
    </w:p>
    <w:p w14:paraId="0CDB1A48" w14:textId="6CE5B6EE" w:rsidR="00DE33BA" w:rsidRDefault="00DE33BA" w:rsidP="00DE33BA">
      <w:pPr>
        <w:rPr>
          <w:rFonts w:ascii="Times New Roman" w:hAnsi="Times New Roman"/>
          <w:b/>
          <w:bCs/>
          <w:lang w:val="en-GB"/>
        </w:rPr>
      </w:pPr>
      <w:r w:rsidRPr="0090745E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</w:t>
      </w:r>
      <w:r w:rsidRPr="0090745E">
        <w:rPr>
          <w:rFonts w:ascii="Times New Roman" w:hAnsi="Times New Roman"/>
          <w:b/>
          <w:bCs/>
          <w:lang w:val="en-GB"/>
        </w:rPr>
        <w:t xml:space="preserve">: When requested </w:t>
      </w:r>
      <w:r>
        <w:rPr>
          <w:rFonts w:ascii="Times New Roman" w:hAnsi="Times New Roman"/>
          <w:b/>
          <w:bCs/>
          <w:lang w:val="en-GB"/>
        </w:rPr>
        <w:t xml:space="preserve">by its serving </w:t>
      </w:r>
      <w:r w:rsidRPr="00A71F3F">
        <w:rPr>
          <w:rFonts w:ascii="Times New Roman" w:hAnsi="Times New Roman"/>
          <w:b/>
          <w:bCs/>
          <w:lang w:val="en-GB"/>
        </w:rPr>
        <w:t>F1 donor CU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Pr="0090745E">
        <w:rPr>
          <w:rFonts w:ascii="Times New Roman" w:hAnsi="Times New Roman"/>
          <w:b/>
          <w:bCs/>
          <w:lang w:val="en-GB"/>
        </w:rPr>
        <w:t>to setup a new F1 connection, a</w:t>
      </w:r>
      <w:r>
        <w:rPr>
          <w:rFonts w:ascii="Times New Roman" w:hAnsi="Times New Roman"/>
          <w:b/>
          <w:bCs/>
          <w:lang w:val="en-GB"/>
        </w:rPr>
        <w:t xml:space="preserve"> mobile</w:t>
      </w:r>
      <w:r w:rsidRPr="0090745E">
        <w:rPr>
          <w:rFonts w:ascii="Times New Roman" w:hAnsi="Times New Roman"/>
          <w:b/>
          <w:bCs/>
          <w:lang w:val="en-GB"/>
        </w:rPr>
        <w:t xml:space="preserve"> IAB-node </w:t>
      </w:r>
      <w:r>
        <w:rPr>
          <w:rFonts w:ascii="Times New Roman" w:hAnsi="Times New Roman"/>
          <w:b/>
          <w:bCs/>
          <w:lang w:val="en-GB"/>
        </w:rPr>
        <w:t xml:space="preserve">may </w:t>
      </w:r>
      <w:r w:rsidRPr="0090745E">
        <w:rPr>
          <w:rFonts w:ascii="Times New Roman" w:hAnsi="Times New Roman"/>
          <w:b/>
          <w:bCs/>
          <w:lang w:val="en-GB"/>
        </w:rPr>
        <w:t xml:space="preserve">execute a F1 setup procedure with the target F1 donor-CU indicated in the request. </w:t>
      </w:r>
      <w:r>
        <w:rPr>
          <w:rFonts w:ascii="Times New Roman" w:hAnsi="Times New Roman"/>
          <w:b/>
          <w:bCs/>
          <w:lang w:val="en-GB"/>
        </w:rPr>
        <w:t>In the absence of</w:t>
      </w:r>
      <w:r w:rsidRPr="0090745E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such</w:t>
      </w:r>
      <w:r w:rsidRPr="0090745E">
        <w:rPr>
          <w:rFonts w:ascii="Times New Roman" w:hAnsi="Times New Roman"/>
          <w:b/>
          <w:bCs/>
          <w:lang w:val="en-GB"/>
        </w:rPr>
        <w:t xml:space="preserve"> indication, the </w:t>
      </w:r>
      <w:r>
        <w:rPr>
          <w:rFonts w:ascii="Times New Roman" w:hAnsi="Times New Roman"/>
          <w:b/>
          <w:bCs/>
          <w:lang w:val="en-GB"/>
        </w:rPr>
        <w:t xml:space="preserve">mobile </w:t>
      </w:r>
      <w:r w:rsidRPr="0090745E">
        <w:rPr>
          <w:rFonts w:ascii="Times New Roman" w:hAnsi="Times New Roman"/>
          <w:b/>
          <w:bCs/>
          <w:lang w:val="en-GB"/>
        </w:rPr>
        <w:t>IAB-node execute</w:t>
      </w:r>
      <w:r>
        <w:rPr>
          <w:rFonts w:ascii="Times New Roman" w:hAnsi="Times New Roman"/>
          <w:b/>
          <w:bCs/>
          <w:lang w:val="en-GB"/>
        </w:rPr>
        <w:t>s</w:t>
      </w:r>
      <w:r w:rsidRPr="0090745E">
        <w:rPr>
          <w:rFonts w:ascii="Times New Roman" w:hAnsi="Times New Roman"/>
          <w:b/>
          <w:bCs/>
          <w:lang w:val="en-GB"/>
        </w:rPr>
        <w:t xml:space="preserve"> the F1 setup procedure with the non-F1 terminating donor-CU. </w:t>
      </w:r>
    </w:p>
    <w:p w14:paraId="1C1D9253" w14:textId="66C0E0AE" w:rsidR="00266D02" w:rsidRPr="00DE33BA" w:rsidRDefault="00266D02" w:rsidP="00C038D0">
      <w:pPr>
        <w:rPr>
          <w:rFonts w:ascii="Times New Roman" w:hAnsi="Times New Roman"/>
          <w:lang w:val="en-GB"/>
        </w:rPr>
      </w:pPr>
    </w:p>
    <w:p w14:paraId="74AC00D0" w14:textId="79C2C904" w:rsidR="004E7CE3" w:rsidRDefault="004E7CE3" w:rsidP="004E7CE3">
      <w:pPr>
        <w:pStyle w:val="Heading2"/>
      </w:pPr>
      <w:r>
        <w:t xml:space="preserve">Decoupling </w:t>
      </w:r>
      <w:r w:rsidR="00DE33BA">
        <w:t>mIAB-</w:t>
      </w:r>
      <w:r>
        <w:t xml:space="preserve">MT </w:t>
      </w:r>
      <w:r w:rsidR="00DE33BA">
        <w:t xml:space="preserve">handover </w:t>
      </w:r>
      <w:r>
        <w:t xml:space="preserve">and </w:t>
      </w:r>
      <w:r w:rsidR="00DE33BA">
        <w:t>mIAB-</w:t>
      </w:r>
      <w:r>
        <w:t xml:space="preserve">DU </w:t>
      </w:r>
      <w:r w:rsidR="00DE33BA">
        <w:t>m</w:t>
      </w:r>
      <w:r>
        <w:t>igration</w:t>
      </w:r>
    </w:p>
    <w:p w14:paraId="05A80EEC" w14:textId="6BD53BB8" w:rsidR="004E7CE3" w:rsidRDefault="004E7CE3" w:rsidP="004E7CE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When analysing the impact of concurrent MT handover and DU migration for a mobile IAB-node, it appears that it is the DU migration that may fail due to the </w:t>
      </w:r>
      <w:r w:rsidR="00DE33BA">
        <w:rPr>
          <w:rFonts w:ascii="Times New Roman" w:hAnsi="Times New Roman"/>
          <w:lang w:val="en-GB"/>
        </w:rPr>
        <w:t xml:space="preserve">possible </w:t>
      </w:r>
      <w:r>
        <w:rPr>
          <w:rFonts w:ascii="Times New Roman" w:hAnsi="Times New Roman"/>
          <w:lang w:val="en-GB"/>
        </w:rPr>
        <w:t>modification of the backhaul path to communicate with the mobile IAB-</w:t>
      </w:r>
      <w:r>
        <w:rPr>
          <w:rFonts w:ascii="Times New Roman" w:hAnsi="Times New Roman"/>
          <w:lang w:val="en-GB"/>
        </w:rPr>
        <w:lastRenderedPageBreak/>
        <w:t xml:space="preserve">node. Depending on when the original backhaul path between the mobile IAB-node and the source non-F1 terminating donor-CU is no </w:t>
      </w:r>
      <w:r w:rsidR="00C1251B">
        <w:rPr>
          <w:rFonts w:ascii="Times New Roman" w:hAnsi="Times New Roman"/>
          <w:lang w:val="en-GB"/>
        </w:rPr>
        <w:t xml:space="preserve">longer </w:t>
      </w:r>
      <w:r>
        <w:rPr>
          <w:rFonts w:ascii="Times New Roman" w:hAnsi="Times New Roman"/>
          <w:lang w:val="en-GB"/>
        </w:rPr>
        <w:t>available, F1 setup procedure or UE handover procedure in DU migration is likely to fail at some point. On the other hand, the handover of the mobile IAB-MT (mIAB-MT) should not be impacted by a concurrent migration of the co-located mobile IAB-DU (mIAB-DU).</w:t>
      </w:r>
    </w:p>
    <w:p w14:paraId="1B5121D1" w14:textId="3D2D14C6" w:rsidR="004E7CE3" w:rsidRDefault="004E7CE3" w:rsidP="004E7CE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As a safe approach, a mIAB-DU migration should be executed and completed </w:t>
      </w:r>
      <w:r w:rsidRPr="008711B2">
        <w:rPr>
          <w:rFonts w:ascii="Times New Roman" w:hAnsi="Times New Roman"/>
          <w:lang w:val="en-GB"/>
        </w:rPr>
        <w:t xml:space="preserve">while the co-located </w:t>
      </w:r>
      <w:r>
        <w:rPr>
          <w:rFonts w:ascii="Times New Roman" w:hAnsi="Times New Roman"/>
          <w:lang w:val="en-GB"/>
        </w:rPr>
        <w:t>m</w:t>
      </w:r>
      <w:r w:rsidRPr="008711B2">
        <w:rPr>
          <w:rFonts w:ascii="Times New Roman" w:hAnsi="Times New Roman"/>
          <w:lang w:val="en-GB"/>
        </w:rPr>
        <w:t>IAB-</w:t>
      </w:r>
      <w:r>
        <w:rPr>
          <w:rFonts w:ascii="Times New Roman" w:hAnsi="Times New Roman"/>
          <w:lang w:val="en-GB"/>
        </w:rPr>
        <w:t>MT</w:t>
      </w:r>
      <w:r w:rsidRPr="008711B2">
        <w:rPr>
          <w:rFonts w:ascii="Times New Roman" w:hAnsi="Times New Roman"/>
          <w:lang w:val="en-GB"/>
        </w:rPr>
        <w:t xml:space="preserve"> stays connected to the same donor</w:t>
      </w:r>
      <w:r>
        <w:rPr>
          <w:rFonts w:ascii="Times New Roman" w:hAnsi="Times New Roman"/>
          <w:lang w:val="en-GB"/>
        </w:rPr>
        <w:t>-CU</w:t>
      </w:r>
      <w:r w:rsidR="00AE3EC6">
        <w:rPr>
          <w:rFonts w:ascii="Times New Roman" w:hAnsi="Times New Roman"/>
          <w:lang w:val="en-GB"/>
        </w:rPr>
        <w:t>.</w:t>
      </w:r>
      <w:r w:rsidRPr="00050867">
        <w:t xml:space="preserve"> </w:t>
      </w:r>
      <w:r>
        <w:rPr>
          <w:rFonts w:ascii="Times New Roman" w:hAnsi="Times New Roman"/>
          <w:lang w:val="en-GB"/>
        </w:rPr>
        <w:t xml:space="preserve">However, assuming a </w:t>
      </w:r>
      <w:r w:rsidRPr="00050867">
        <w:rPr>
          <w:rFonts w:ascii="Times New Roman" w:hAnsi="Times New Roman"/>
          <w:lang w:val="en-GB"/>
        </w:rPr>
        <w:t>mIAB-MT handover should not be delayed to maintain backhaul connection and to avoid service interruption at the served UEs</w:t>
      </w:r>
      <w:r>
        <w:rPr>
          <w:rFonts w:ascii="Times New Roman" w:hAnsi="Times New Roman"/>
          <w:lang w:val="en-GB"/>
        </w:rPr>
        <w:t>, a mIAB-MT handover may be triggered when a mIAB-DU migration is on-going. What can be done is to limit the cases of concurrent MT handover and DU migration by preventing the triggering of a mIAB-DU migration while a handover of the co-located mIAB-MT is on-going.</w:t>
      </w:r>
    </w:p>
    <w:p w14:paraId="3170A10F" w14:textId="77DC48DD" w:rsidR="004E7CE3" w:rsidRDefault="004E7CE3" w:rsidP="004E7CE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Thus, when the non-F1 terminating donor-CU of a mobile IAB-node detects the need to execute a mIAB-MT handover, the non-F1 terminating donor-CU </w:t>
      </w:r>
      <w:r w:rsidR="004F6400">
        <w:rPr>
          <w:rFonts w:ascii="Times New Roman" w:hAnsi="Times New Roman"/>
          <w:lang w:val="en-GB"/>
        </w:rPr>
        <w:t>may</w:t>
      </w:r>
      <w:r>
        <w:rPr>
          <w:rFonts w:ascii="Times New Roman" w:hAnsi="Times New Roman"/>
          <w:lang w:val="en-GB"/>
        </w:rPr>
        <w:t xml:space="preserve"> immediately inform the F1 terminating donor-CU.</w:t>
      </w:r>
    </w:p>
    <w:p w14:paraId="48DF7937" w14:textId="39B0808C" w:rsidR="004E7CE3" w:rsidRDefault="004E7CE3" w:rsidP="004E7CE3">
      <w:pPr>
        <w:rPr>
          <w:rFonts w:ascii="Times New Roman" w:hAnsi="Times New Roman"/>
          <w:b/>
          <w:bCs/>
          <w:lang w:val="en-GB"/>
        </w:rPr>
      </w:pPr>
      <w:bookmarkStart w:id="4" w:name="_Hlk125668957"/>
      <w:r>
        <w:rPr>
          <w:rFonts w:ascii="Times New Roman" w:hAnsi="Times New Roman"/>
          <w:b/>
          <w:bCs/>
          <w:lang w:val="en-GB"/>
        </w:rPr>
        <w:t>Proposal</w:t>
      </w:r>
      <w:r w:rsidRPr="008E0CD4">
        <w:rPr>
          <w:rFonts w:ascii="Times New Roman" w:hAnsi="Times New Roman"/>
          <w:b/>
          <w:bCs/>
          <w:lang w:val="en-GB"/>
        </w:rPr>
        <w:t xml:space="preserve"> </w:t>
      </w:r>
      <w:r w:rsidR="00DE33BA">
        <w:rPr>
          <w:rFonts w:ascii="Times New Roman" w:hAnsi="Times New Roman"/>
          <w:b/>
          <w:bCs/>
          <w:lang w:val="en-GB"/>
        </w:rPr>
        <w:t>3</w:t>
      </w:r>
      <w:r w:rsidRPr="008E0CD4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72046B">
        <w:rPr>
          <w:rFonts w:ascii="Times New Roman" w:hAnsi="Times New Roman"/>
          <w:b/>
          <w:bCs/>
          <w:lang w:val="en-GB"/>
        </w:rPr>
        <w:t xml:space="preserve">he non-F1 terminating donor-CU </w:t>
      </w:r>
      <w:r>
        <w:rPr>
          <w:rFonts w:ascii="Times New Roman" w:hAnsi="Times New Roman"/>
          <w:b/>
          <w:bCs/>
          <w:lang w:val="en-GB"/>
        </w:rPr>
        <w:t xml:space="preserve">of a mobile IAB-node </w:t>
      </w:r>
      <w:r w:rsidR="004F6400">
        <w:rPr>
          <w:rFonts w:ascii="Times New Roman" w:hAnsi="Times New Roman"/>
          <w:b/>
          <w:bCs/>
          <w:lang w:val="en-GB"/>
        </w:rPr>
        <w:t>may</w:t>
      </w:r>
      <w:r w:rsidRPr="0072046B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inform</w:t>
      </w:r>
      <w:r w:rsidRPr="0072046B">
        <w:rPr>
          <w:rFonts w:ascii="Times New Roman" w:hAnsi="Times New Roman"/>
          <w:b/>
          <w:bCs/>
          <w:lang w:val="en-GB"/>
        </w:rPr>
        <w:t xml:space="preserve"> the F1 terminating donor </w:t>
      </w:r>
      <w:r w:rsidR="00DE33BA">
        <w:rPr>
          <w:rFonts w:ascii="Times New Roman" w:hAnsi="Times New Roman"/>
          <w:b/>
          <w:bCs/>
          <w:lang w:val="en-GB"/>
        </w:rPr>
        <w:t>before executing a</w:t>
      </w:r>
      <w:r>
        <w:rPr>
          <w:rFonts w:ascii="Times New Roman" w:hAnsi="Times New Roman"/>
          <w:b/>
          <w:bCs/>
          <w:lang w:val="en-GB"/>
        </w:rPr>
        <w:t xml:space="preserve"> MT handover of the mobile IAB-node.</w:t>
      </w:r>
    </w:p>
    <w:bookmarkEnd w:id="4"/>
    <w:p w14:paraId="403A18BC" w14:textId="56D37844" w:rsidR="004E7CE3" w:rsidRDefault="004E7CE3" w:rsidP="004E7CE3">
      <w:pPr>
        <w:rPr>
          <w:rFonts w:ascii="Times New Roman" w:hAnsi="Times New Roman"/>
          <w:lang w:val="en-GB"/>
        </w:rPr>
      </w:pPr>
    </w:p>
    <w:p w14:paraId="0FD3B167" w14:textId="76D132E7" w:rsidR="004E7CE3" w:rsidRDefault="004E7CE3" w:rsidP="004E7CE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Then, the F1 terminating donor-CU may </w:t>
      </w:r>
      <w:r w:rsidR="00957D25">
        <w:rPr>
          <w:rFonts w:ascii="Times New Roman" w:hAnsi="Times New Roman"/>
          <w:lang w:val="en-GB"/>
        </w:rPr>
        <w:t>disable</w:t>
      </w:r>
      <w:r w:rsidRPr="00AB539B">
        <w:t xml:space="preserve"> </w:t>
      </w:r>
      <w:r>
        <w:rPr>
          <w:rFonts w:ascii="Times New Roman" w:hAnsi="Times New Roman"/>
          <w:lang w:val="en-GB"/>
        </w:rPr>
        <w:t>the execution of a DU migration for the mobile IAB-node</w:t>
      </w:r>
      <w:r w:rsidRPr="00AB539B">
        <w:rPr>
          <w:rFonts w:ascii="Times New Roman" w:hAnsi="Times New Roman"/>
          <w:lang w:val="en-GB"/>
        </w:rPr>
        <w:t xml:space="preserve"> until completion of the </w:t>
      </w:r>
      <w:r>
        <w:rPr>
          <w:rFonts w:ascii="Times New Roman" w:hAnsi="Times New Roman"/>
          <w:lang w:val="en-GB"/>
        </w:rPr>
        <w:t xml:space="preserve">handover </w:t>
      </w:r>
      <w:r w:rsidRPr="00AB539B">
        <w:rPr>
          <w:rFonts w:ascii="Times New Roman" w:hAnsi="Times New Roman"/>
          <w:lang w:val="en-GB"/>
        </w:rPr>
        <w:t xml:space="preserve">process for the </w:t>
      </w:r>
      <w:r>
        <w:rPr>
          <w:rFonts w:ascii="Times New Roman" w:hAnsi="Times New Roman"/>
          <w:lang w:val="en-GB"/>
        </w:rPr>
        <w:t>co-located mIAB-</w:t>
      </w:r>
      <w:r w:rsidRPr="00AB539B">
        <w:rPr>
          <w:rFonts w:ascii="Times New Roman" w:hAnsi="Times New Roman"/>
          <w:lang w:val="en-GB"/>
        </w:rPr>
        <w:t>MT</w:t>
      </w:r>
      <w:r>
        <w:rPr>
          <w:rFonts w:ascii="Times New Roman" w:hAnsi="Times New Roman"/>
          <w:lang w:val="en-GB"/>
        </w:rPr>
        <w:t xml:space="preserve">. </w:t>
      </w:r>
    </w:p>
    <w:p w14:paraId="47496C5F" w14:textId="77777777" w:rsidR="004E7CE3" w:rsidRDefault="004E7CE3" w:rsidP="004E7CE3">
      <w:pPr>
        <w:rPr>
          <w:rFonts w:ascii="Times New Roman" w:hAnsi="Times New Roman"/>
          <w:lang w:val="en-GB"/>
        </w:rPr>
      </w:pPr>
    </w:p>
    <w:p w14:paraId="10785D9D" w14:textId="77777777" w:rsidR="004E7CE3" w:rsidRPr="004E7CE3" w:rsidRDefault="004E7CE3" w:rsidP="00C038D0">
      <w:pPr>
        <w:rPr>
          <w:rFonts w:ascii="Times New Roman" w:hAnsi="Times New Roman"/>
          <w:lang w:val="en-GB"/>
        </w:rPr>
      </w:pPr>
    </w:p>
    <w:p w14:paraId="2D70AF14" w14:textId="0FBD927D" w:rsidR="00DE33BA" w:rsidRDefault="00211AEA" w:rsidP="00DE33BA">
      <w:pPr>
        <w:pStyle w:val="Heading2"/>
      </w:pPr>
      <w:r>
        <w:t xml:space="preserve">Procedures for </w:t>
      </w:r>
      <w:r w:rsidR="00DE33BA">
        <w:t>mIAB-DU migration</w:t>
      </w:r>
    </w:p>
    <w:p w14:paraId="10EFE266" w14:textId="6C0E040B" w:rsidR="0090745E" w:rsidRDefault="0090745E" w:rsidP="00B17D3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trigger the handover of UEs served by the mobile IAB-node during the mIAB-DU migration, the target F1 donor-CU may inform the source F1 donor-CU about the activation of new cell(s) in the second logical DU of the mobile IAB-node. For this purpose, the target F1 donor-CU may execute the </w:t>
      </w:r>
      <w:r w:rsidRPr="0090745E">
        <w:rPr>
          <w:rFonts w:ascii="Times New Roman" w:hAnsi="Times New Roman"/>
        </w:rPr>
        <w:t>NG-RAN node configuration update</w:t>
      </w:r>
      <w:r>
        <w:rPr>
          <w:rFonts w:ascii="Times New Roman" w:hAnsi="Times New Roman"/>
        </w:rPr>
        <w:t xml:space="preserve"> procedure with the source F1 donor-CU.</w:t>
      </w:r>
      <w:r w:rsidR="00E9234E">
        <w:rPr>
          <w:rFonts w:ascii="Times New Roman" w:hAnsi="Times New Roman"/>
        </w:rPr>
        <w:t xml:space="preserve"> Once informed, the source F1 donor-CU can send a handover command to the UEs served by the </w:t>
      </w:r>
      <w:r w:rsidR="00D51FF0">
        <w:rPr>
          <w:rFonts w:ascii="Times New Roman" w:hAnsi="Times New Roman"/>
        </w:rPr>
        <w:t xml:space="preserve">migrating </w:t>
      </w:r>
      <w:r w:rsidR="00E9234E">
        <w:rPr>
          <w:rFonts w:ascii="Times New Roman" w:hAnsi="Times New Roman"/>
        </w:rPr>
        <w:t>mobile IAB-node.</w:t>
      </w:r>
    </w:p>
    <w:p w14:paraId="00B6B204" w14:textId="0650E637" w:rsidR="0090745E" w:rsidRDefault="0090745E" w:rsidP="0090745E">
      <w:pPr>
        <w:rPr>
          <w:rFonts w:ascii="Times New Roman" w:hAnsi="Times New Roman"/>
          <w:b/>
          <w:bCs/>
          <w:lang w:val="en-GB"/>
        </w:rPr>
      </w:pPr>
      <w:r w:rsidRPr="0090745E">
        <w:rPr>
          <w:rFonts w:ascii="Times New Roman" w:hAnsi="Times New Roman"/>
          <w:b/>
          <w:bCs/>
          <w:lang w:val="en-GB"/>
        </w:rPr>
        <w:t xml:space="preserve">Proposal </w:t>
      </w:r>
      <w:r w:rsidR="00AF3B59">
        <w:rPr>
          <w:rFonts w:ascii="Times New Roman" w:hAnsi="Times New Roman"/>
          <w:b/>
          <w:bCs/>
          <w:lang w:val="en-GB"/>
        </w:rPr>
        <w:t>4</w:t>
      </w:r>
      <w:r w:rsidRPr="0090745E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90745E">
        <w:rPr>
          <w:rFonts w:ascii="Times New Roman" w:hAnsi="Times New Roman"/>
          <w:b/>
          <w:bCs/>
          <w:lang w:val="en-GB"/>
        </w:rPr>
        <w:t>NG-RAN node configuration update procedure</w:t>
      </w:r>
      <w:r>
        <w:rPr>
          <w:rFonts w:ascii="Times New Roman" w:hAnsi="Times New Roman"/>
          <w:b/>
          <w:bCs/>
          <w:lang w:val="en-GB"/>
        </w:rPr>
        <w:t xml:space="preserve"> may be used by the target F1 terminating donor-CU of a mobile IAB-node to inform the source F1 terminating donor-CU about the </w:t>
      </w:r>
      <w:r w:rsidR="00407942">
        <w:rPr>
          <w:rFonts w:ascii="Times New Roman" w:hAnsi="Times New Roman"/>
          <w:b/>
          <w:bCs/>
          <w:lang w:val="en-GB"/>
        </w:rPr>
        <w:t xml:space="preserve">ID(s) of </w:t>
      </w:r>
      <w:r w:rsidR="00001E19">
        <w:rPr>
          <w:rFonts w:ascii="Times New Roman" w:hAnsi="Times New Roman"/>
          <w:b/>
          <w:bCs/>
          <w:lang w:val="en-GB"/>
        </w:rPr>
        <w:t xml:space="preserve">the </w:t>
      </w:r>
      <w:r w:rsidR="00407942">
        <w:rPr>
          <w:rFonts w:ascii="Times New Roman" w:hAnsi="Times New Roman"/>
          <w:b/>
          <w:bCs/>
          <w:lang w:val="en-GB"/>
        </w:rPr>
        <w:t>cell</w:t>
      </w:r>
      <w:r w:rsidR="00992B94">
        <w:rPr>
          <w:rFonts w:ascii="Times New Roman" w:hAnsi="Times New Roman"/>
          <w:b/>
          <w:bCs/>
          <w:lang w:val="en-GB"/>
        </w:rPr>
        <w:t>(</w:t>
      </w:r>
      <w:r w:rsidR="00407942">
        <w:rPr>
          <w:rFonts w:ascii="Times New Roman" w:hAnsi="Times New Roman"/>
          <w:b/>
          <w:bCs/>
          <w:lang w:val="en-GB"/>
        </w:rPr>
        <w:t>s</w:t>
      </w:r>
      <w:r w:rsidR="00992B94">
        <w:rPr>
          <w:rFonts w:ascii="Times New Roman" w:hAnsi="Times New Roman"/>
          <w:b/>
          <w:bCs/>
          <w:lang w:val="en-GB"/>
        </w:rPr>
        <w:t>)</w:t>
      </w:r>
      <w:r w:rsidR="00407942">
        <w:rPr>
          <w:rFonts w:ascii="Times New Roman" w:hAnsi="Times New Roman"/>
          <w:b/>
          <w:bCs/>
          <w:lang w:val="en-GB"/>
        </w:rPr>
        <w:t xml:space="preserve"> served by</w:t>
      </w:r>
      <w:r>
        <w:rPr>
          <w:rFonts w:ascii="Times New Roman" w:hAnsi="Times New Roman"/>
          <w:b/>
          <w:bCs/>
          <w:lang w:val="en-GB"/>
        </w:rPr>
        <w:t xml:space="preserve"> the second logical DU </w:t>
      </w:r>
      <w:r w:rsidR="00DD68F5">
        <w:rPr>
          <w:rFonts w:ascii="Times New Roman" w:hAnsi="Times New Roman"/>
          <w:b/>
          <w:bCs/>
          <w:lang w:val="en-GB"/>
        </w:rPr>
        <w:t xml:space="preserve">of the </w:t>
      </w:r>
      <w:r>
        <w:rPr>
          <w:rFonts w:ascii="Times New Roman" w:hAnsi="Times New Roman"/>
          <w:b/>
          <w:bCs/>
          <w:lang w:val="en-GB"/>
        </w:rPr>
        <w:t>mobile IAB-node</w:t>
      </w:r>
      <w:r w:rsidRPr="0090745E">
        <w:rPr>
          <w:rFonts w:ascii="Times New Roman" w:hAnsi="Times New Roman"/>
          <w:b/>
          <w:bCs/>
          <w:lang w:val="en-GB"/>
        </w:rPr>
        <w:t xml:space="preserve">. </w:t>
      </w:r>
    </w:p>
    <w:p w14:paraId="0EF9776A" w14:textId="77777777" w:rsidR="00E7101B" w:rsidRDefault="00E7101B" w:rsidP="0006349A">
      <w:pPr>
        <w:rPr>
          <w:rFonts w:ascii="Times New Roman" w:hAnsi="Times New Roman"/>
        </w:rPr>
      </w:pPr>
    </w:p>
    <w:p w14:paraId="63B4E74D" w14:textId="43BB996B" w:rsidR="0006349A" w:rsidRDefault="0006349A" w:rsidP="0006349A">
      <w:pPr>
        <w:rPr>
          <w:rFonts w:ascii="Times New Roman" w:hAnsi="Times New Roman"/>
        </w:rPr>
      </w:pPr>
      <w:r>
        <w:rPr>
          <w:rFonts w:ascii="Times New Roman" w:hAnsi="Times New Roman"/>
        </w:rPr>
        <w:t>Also, if the target</w:t>
      </w:r>
      <w:r w:rsidRPr="00266D0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F1 </w:t>
      </w:r>
      <w:r w:rsidRPr="00266D02">
        <w:rPr>
          <w:rFonts w:ascii="Times New Roman" w:hAnsi="Times New Roman"/>
        </w:rPr>
        <w:t xml:space="preserve">donor-CU </w:t>
      </w:r>
      <w:r>
        <w:rPr>
          <w:rFonts w:ascii="Times New Roman" w:hAnsi="Times New Roman"/>
        </w:rPr>
        <w:t>is different from the non-F1 donor-CU, t</w:t>
      </w:r>
      <w:r w:rsidRPr="00266D02">
        <w:rPr>
          <w:rFonts w:ascii="Times New Roman" w:hAnsi="Times New Roman"/>
        </w:rPr>
        <w:t xml:space="preserve">he </w:t>
      </w:r>
      <w:r>
        <w:rPr>
          <w:rFonts w:ascii="Times New Roman" w:hAnsi="Times New Roman"/>
        </w:rPr>
        <w:t>target</w:t>
      </w:r>
      <w:r w:rsidRPr="00266D0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F1 </w:t>
      </w:r>
      <w:r w:rsidRPr="00266D02">
        <w:rPr>
          <w:rFonts w:ascii="Times New Roman" w:hAnsi="Times New Roman"/>
        </w:rPr>
        <w:t xml:space="preserve">donor-CU </w:t>
      </w:r>
      <w:r>
        <w:rPr>
          <w:rFonts w:ascii="Times New Roman" w:hAnsi="Times New Roman"/>
        </w:rPr>
        <w:t>should be informed about</w:t>
      </w:r>
      <w:r w:rsidRPr="00266D02">
        <w:rPr>
          <w:rFonts w:ascii="Times New Roman" w:hAnsi="Times New Roman"/>
        </w:rPr>
        <w:t xml:space="preserve"> the </w:t>
      </w:r>
      <w:r>
        <w:rPr>
          <w:rFonts w:ascii="Times New Roman" w:hAnsi="Times New Roman"/>
        </w:rPr>
        <w:t>current non-F1 donor-CU serving the co-located m</w:t>
      </w:r>
      <w:r w:rsidRPr="00266D02">
        <w:rPr>
          <w:rFonts w:ascii="Times New Roman" w:hAnsi="Times New Roman"/>
        </w:rPr>
        <w:t>IAB-MT</w:t>
      </w:r>
      <w:r>
        <w:rPr>
          <w:rFonts w:ascii="Times New Roman" w:hAnsi="Times New Roman"/>
        </w:rPr>
        <w:t xml:space="preserve"> of the mobile IAB-node. </w:t>
      </w:r>
      <w:r w:rsidRPr="00266D02">
        <w:rPr>
          <w:rFonts w:ascii="Times New Roman" w:hAnsi="Times New Roman"/>
        </w:rPr>
        <w:t xml:space="preserve">This </w:t>
      </w:r>
      <w:r>
        <w:rPr>
          <w:rFonts w:ascii="Times New Roman" w:hAnsi="Times New Roman"/>
        </w:rPr>
        <w:t xml:space="preserve">would allow the </w:t>
      </w:r>
      <w:r w:rsidRPr="00266D02">
        <w:rPr>
          <w:rFonts w:ascii="Times New Roman" w:hAnsi="Times New Roman"/>
        </w:rPr>
        <w:t xml:space="preserve">target </w:t>
      </w:r>
      <w:r>
        <w:rPr>
          <w:rFonts w:ascii="Times New Roman" w:hAnsi="Times New Roman"/>
        </w:rPr>
        <w:t xml:space="preserve">F1 </w:t>
      </w:r>
      <w:r w:rsidRPr="00266D02">
        <w:rPr>
          <w:rFonts w:ascii="Times New Roman" w:hAnsi="Times New Roman"/>
        </w:rPr>
        <w:t xml:space="preserve">donor-CU to </w:t>
      </w:r>
      <w:r>
        <w:rPr>
          <w:rFonts w:ascii="Times New Roman" w:hAnsi="Times New Roman"/>
        </w:rPr>
        <w:t xml:space="preserve">setup the IAB </w:t>
      </w:r>
      <w:r w:rsidRPr="00266D02">
        <w:rPr>
          <w:rFonts w:ascii="Times New Roman" w:hAnsi="Times New Roman"/>
        </w:rPr>
        <w:t xml:space="preserve">transport migration toward the </w:t>
      </w:r>
      <w:r>
        <w:rPr>
          <w:rFonts w:ascii="Times New Roman" w:hAnsi="Times New Roman"/>
        </w:rPr>
        <w:t xml:space="preserve">non-F1 </w:t>
      </w:r>
      <w:r w:rsidRPr="00266D02">
        <w:rPr>
          <w:rFonts w:ascii="Times New Roman" w:hAnsi="Times New Roman"/>
        </w:rPr>
        <w:t>donor CU</w:t>
      </w:r>
      <w:r>
        <w:rPr>
          <w:rFonts w:ascii="Times New Roman" w:hAnsi="Times New Roman"/>
        </w:rPr>
        <w:t>’s topology.</w:t>
      </w:r>
    </w:p>
    <w:p w14:paraId="2E1A5F39" w14:textId="7D6E2705" w:rsidR="0006349A" w:rsidRPr="00BF18B2" w:rsidRDefault="0006349A" w:rsidP="0006349A">
      <w:pPr>
        <w:rPr>
          <w:rFonts w:ascii="Times New Roman" w:hAnsi="Times New Roman"/>
          <w:b/>
          <w:bCs/>
        </w:rPr>
      </w:pPr>
      <w:r w:rsidRPr="00BF18B2">
        <w:rPr>
          <w:rFonts w:ascii="Times New Roman" w:hAnsi="Times New Roman"/>
          <w:b/>
          <w:bCs/>
        </w:rPr>
        <w:t xml:space="preserve">Proposal </w:t>
      </w:r>
      <w:r w:rsidR="00461E34">
        <w:rPr>
          <w:rFonts w:ascii="Times New Roman" w:hAnsi="Times New Roman"/>
          <w:b/>
          <w:bCs/>
        </w:rPr>
        <w:t>5</w:t>
      </w:r>
      <w:r w:rsidRPr="00BF18B2">
        <w:rPr>
          <w:rFonts w:ascii="Times New Roman" w:hAnsi="Times New Roman"/>
          <w:b/>
          <w:bCs/>
        </w:rPr>
        <w:t xml:space="preserve">: The target F1 donor-CU for the migration of a mobile IAB-DU should be informed about the current non-F1 donor-CU serving the co-located </w:t>
      </w:r>
      <w:r>
        <w:rPr>
          <w:rFonts w:ascii="Times New Roman" w:hAnsi="Times New Roman"/>
          <w:b/>
          <w:bCs/>
        </w:rPr>
        <w:t xml:space="preserve">mobile </w:t>
      </w:r>
      <w:r w:rsidRPr="00BF18B2">
        <w:rPr>
          <w:rFonts w:ascii="Times New Roman" w:hAnsi="Times New Roman"/>
          <w:b/>
          <w:bCs/>
        </w:rPr>
        <w:t>IAB-MT.</w:t>
      </w:r>
    </w:p>
    <w:p w14:paraId="2358A961" w14:textId="744A7E31" w:rsidR="0090745E" w:rsidRPr="0090745E" w:rsidRDefault="0090745E" w:rsidP="00B17D38">
      <w:pPr>
        <w:rPr>
          <w:rFonts w:ascii="Times New Roman" w:hAnsi="Times New Roman"/>
          <w:lang w:val="en-GB"/>
        </w:rPr>
      </w:pPr>
    </w:p>
    <w:p w14:paraId="7D1D9644" w14:textId="77777777" w:rsidR="00F93F94" w:rsidRPr="00266D02" w:rsidRDefault="00F93F94" w:rsidP="003F05D2">
      <w:pPr>
        <w:rPr>
          <w:rFonts w:ascii="Times New Roman" w:hAnsi="Times New Roman"/>
        </w:rPr>
      </w:pPr>
    </w:p>
    <w:p w14:paraId="731AAE14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t>Conclusion</w:t>
      </w:r>
    </w:p>
    <w:p w14:paraId="61952D60" w14:textId="57E7DF39" w:rsidR="009E3D87" w:rsidRPr="001C10D0" w:rsidRDefault="007A35BE" w:rsidP="002F6505">
      <w:pPr>
        <w:rPr>
          <w:rFonts w:ascii="Times New Roman" w:hAnsi="Times New Roman"/>
          <w:lang w:val="en-GB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</w:t>
      </w:r>
      <w:r w:rsidR="00764524">
        <w:rPr>
          <w:rFonts w:ascii="Times New Roman" w:hAnsi="Times New Roman"/>
        </w:rPr>
        <w:t xml:space="preserve">we have discussed the interest </w:t>
      </w:r>
      <w:r w:rsidR="00DE33BA">
        <w:rPr>
          <w:rFonts w:ascii="Times New Roman" w:hAnsi="Times New Roman"/>
        </w:rPr>
        <w:t xml:space="preserve">that </w:t>
      </w:r>
      <w:r w:rsidR="0094599A">
        <w:rPr>
          <w:rFonts w:ascii="Times New Roman" w:hAnsi="Times New Roman"/>
        </w:rPr>
        <w:t xml:space="preserve">a </w:t>
      </w:r>
      <w:r w:rsidR="0094599A" w:rsidRPr="00EF7D3A">
        <w:rPr>
          <w:rFonts w:ascii="Times New Roman" w:hAnsi="Times New Roman"/>
          <w:lang w:val="en-GB"/>
        </w:rPr>
        <w:t>mIAB-MT and its co-located mIAB-DU can be handed over/migrated to different donor CUs</w:t>
      </w:r>
      <w:r w:rsidR="0094599A">
        <w:rPr>
          <w:rFonts w:ascii="Times New Roman" w:hAnsi="Times New Roman"/>
          <w:lang w:val="en-GB"/>
        </w:rPr>
        <w:t>, and</w:t>
      </w:r>
      <w:r w:rsidR="0094599A">
        <w:rPr>
          <w:rFonts w:ascii="Times New Roman" w:hAnsi="Times New Roman"/>
        </w:rPr>
        <w:t xml:space="preserve"> </w:t>
      </w:r>
      <w:r w:rsidR="00656DB2" w:rsidRPr="00832A14">
        <w:rPr>
          <w:rFonts w:ascii="Times New Roman" w:hAnsi="Times New Roman"/>
          <w:lang w:val="en-GB"/>
        </w:rPr>
        <w:t xml:space="preserve">we </w:t>
      </w:r>
      <w:r w:rsidR="00656DB2">
        <w:rPr>
          <w:rFonts w:ascii="Times New Roman" w:hAnsi="Times New Roman"/>
          <w:lang w:val="en-GB"/>
        </w:rPr>
        <w:t xml:space="preserve">have </w:t>
      </w:r>
      <w:r w:rsidR="00D51FF0">
        <w:rPr>
          <w:rFonts w:ascii="Times New Roman" w:hAnsi="Times New Roman"/>
          <w:lang w:val="en-GB"/>
        </w:rPr>
        <w:t xml:space="preserve">proposed a solution to </w:t>
      </w:r>
      <w:r w:rsidR="00DE33BA">
        <w:rPr>
          <w:rFonts w:ascii="Times New Roman" w:hAnsi="Times New Roman"/>
          <w:lang w:val="en-GB"/>
        </w:rPr>
        <w:t xml:space="preserve">limit </w:t>
      </w:r>
      <w:r w:rsidR="00D51FF0">
        <w:rPr>
          <w:rFonts w:ascii="Times New Roman" w:hAnsi="Times New Roman"/>
          <w:lang w:val="en-GB"/>
        </w:rPr>
        <w:t xml:space="preserve">concurrent MT </w:t>
      </w:r>
      <w:r w:rsidR="00DE33BA">
        <w:rPr>
          <w:rFonts w:ascii="Times New Roman" w:hAnsi="Times New Roman"/>
          <w:lang w:val="en-GB"/>
        </w:rPr>
        <w:t xml:space="preserve">handover </w:t>
      </w:r>
      <w:r w:rsidR="00D51FF0">
        <w:rPr>
          <w:rFonts w:ascii="Times New Roman" w:hAnsi="Times New Roman"/>
          <w:lang w:val="en-GB"/>
        </w:rPr>
        <w:t xml:space="preserve">and DU migration at a mobile IAB-node. Besides, we have proposed some procedures to manage the DU migration of a mobile IAB-node. </w:t>
      </w:r>
      <w:r w:rsidR="001C10D0">
        <w:rPr>
          <w:rFonts w:ascii="Times New Roman" w:hAnsi="Times New Roman"/>
          <w:lang w:val="en-GB"/>
        </w:rPr>
        <w:t>Finally, t</w:t>
      </w:r>
      <w:r w:rsidR="007C33CB">
        <w:rPr>
          <w:rFonts w:ascii="Times New Roman" w:hAnsi="Times New Roman"/>
          <w:lang w:val="en-GB"/>
        </w:rPr>
        <w:t>he following</w:t>
      </w:r>
      <w:r w:rsidR="007C33CB" w:rsidRPr="00832A14">
        <w:rPr>
          <w:rFonts w:ascii="Times New Roman" w:hAnsi="Times New Roman"/>
          <w:lang w:val="en-GB"/>
        </w:rPr>
        <w:t xml:space="preserve"> </w:t>
      </w:r>
      <w:r w:rsidR="00656DB2">
        <w:rPr>
          <w:rFonts w:ascii="Times New Roman" w:hAnsi="Times New Roman"/>
          <w:lang w:val="en-GB"/>
        </w:rPr>
        <w:t xml:space="preserve">observation and </w:t>
      </w:r>
      <w:r w:rsidR="007C33CB">
        <w:rPr>
          <w:rFonts w:ascii="Times New Roman" w:hAnsi="Times New Roman"/>
          <w:lang w:val="en-GB"/>
        </w:rPr>
        <w:t>proposals</w:t>
      </w:r>
      <w:r w:rsidR="00656DB2">
        <w:rPr>
          <w:rFonts w:ascii="Times New Roman" w:hAnsi="Times New Roman"/>
          <w:lang w:val="en-GB"/>
        </w:rPr>
        <w:t xml:space="preserve"> have been made</w:t>
      </w:r>
      <w:r w:rsidR="007C33CB">
        <w:rPr>
          <w:rFonts w:ascii="Times New Roman" w:hAnsi="Times New Roman"/>
          <w:lang w:val="en-GB"/>
        </w:rPr>
        <w:t>:</w:t>
      </w:r>
    </w:p>
    <w:p w14:paraId="77685F6C" w14:textId="77777777" w:rsidR="0094599A" w:rsidRPr="0094599A" w:rsidRDefault="0094599A" w:rsidP="0094599A">
      <w:pPr>
        <w:rPr>
          <w:rFonts w:ascii="Times New Roman" w:hAnsi="Times New Roman"/>
          <w:b/>
          <w:bCs/>
        </w:rPr>
      </w:pPr>
      <w:r w:rsidRPr="0094599A">
        <w:rPr>
          <w:rFonts w:ascii="Times New Roman" w:hAnsi="Times New Roman"/>
          <w:b/>
          <w:bCs/>
        </w:rPr>
        <w:t>Observation 1: A mIAB-MT handover should not be delayed to maintain a backhaul connection and to avoid service interruption at the served UEs.</w:t>
      </w:r>
    </w:p>
    <w:p w14:paraId="4B03FB65" w14:textId="77777777" w:rsidR="00211AEA" w:rsidRPr="00B70EBC" w:rsidRDefault="00211AEA" w:rsidP="00211AEA">
      <w:pPr>
        <w:rPr>
          <w:rFonts w:ascii="Times New Roman" w:hAnsi="Times New Roman"/>
          <w:b/>
          <w:bCs/>
        </w:rPr>
      </w:pPr>
      <w:r w:rsidRPr="00B70EBC">
        <w:rPr>
          <w:rFonts w:ascii="Times New Roman" w:hAnsi="Times New Roman"/>
          <w:b/>
          <w:bCs/>
        </w:rPr>
        <w:t xml:space="preserve">Observation 2: Considering that a mIAB-MT handover should not be delayed </w:t>
      </w:r>
      <w:r>
        <w:rPr>
          <w:rFonts w:ascii="Times New Roman" w:hAnsi="Times New Roman"/>
          <w:b/>
          <w:bCs/>
        </w:rPr>
        <w:t xml:space="preserve">may </w:t>
      </w:r>
      <w:r w:rsidRPr="00B70EBC">
        <w:rPr>
          <w:rFonts w:ascii="Times New Roman" w:hAnsi="Times New Roman"/>
          <w:b/>
          <w:bCs/>
        </w:rPr>
        <w:t>lead</w:t>
      </w:r>
      <w:r>
        <w:rPr>
          <w:rFonts w:ascii="Times New Roman" w:hAnsi="Times New Roman"/>
          <w:b/>
          <w:bCs/>
        </w:rPr>
        <w:t xml:space="preserve"> </w:t>
      </w:r>
      <w:r w:rsidRPr="00B70EBC">
        <w:rPr>
          <w:rFonts w:ascii="Times New Roman" w:hAnsi="Times New Roman"/>
          <w:b/>
          <w:bCs/>
        </w:rPr>
        <w:t xml:space="preserve">to </w:t>
      </w:r>
      <w:r>
        <w:rPr>
          <w:rFonts w:ascii="Times New Roman" w:hAnsi="Times New Roman"/>
          <w:b/>
          <w:bCs/>
        </w:rPr>
        <w:t>situations where</w:t>
      </w:r>
      <w:r w:rsidRPr="00B70EBC">
        <w:rPr>
          <w:rFonts w:ascii="Times New Roman" w:hAnsi="Times New Roman"/>
          <w:b/>
          <w:bCs/>
        </w:rPr>
        <w:t xml:space="preserve"> a mIAB-MT and its co-located mIAB-DU can be handed over/migrated to different donor CUs.</w:t>
      </w:r>
    </w:p>
    <w:p w14:paraId="5E9A9340" w14:textId="4BB88287" w:rsidR="0094599A" w:rsidRPr="0094599A" w:rsidRDefault="0094599A" w:rsidP="0094599A">
      <w:pPr>
        <w:rPr>
          <w:rFonts w:ascii="Times New Roman" w:hAnsi="Times New Roman"/>
          <w:b/>
          <w:bCs/>
        </w:rPr>
      </w:pPr>
      <w:r w:rsidRPr="0094599A">
        <w:rPr>
          <w:rFonts w:ascii="Times New Roman" w:hAnsi="Times New Roman"/>
          <w:b/>
          <w:bCs/>
        </w:rPr>
        <w:t xml:space="preserve">Observation 3: The criteria to select a target donor-CU for a mobile IAB-node depend on the migration type, </w:t>
      </w:r>
      <w:r w:rsidR="00C1251B">
        <w:rPr>
          <w:rFonts w:ascii="Times New Roman" w:hAnsi="Times New Roman"/>
          <w:b/>
          <w:bCs/>
        </w:rPr>
        <w:t xml:space="preserve">i.e., </w:t>
      </w:r>
      <w:r w:rsidRPr="0094599A">
        <w:rPr>
          <w:rFonts w:ascii="Times New Roman" w:hAnsi="Times New Roman"/>
          <w:b/>
          <w:bCs/>
        </w:rPr>
        <w:t xml:space="preserve">MT handover or DU </w:t>
      </w:r>
      <w:r w:rsidR="00B70EBC">
        <w:rPr>
          <w:rFonts w:ascii="Times New Roman" w:hAnsi="Times New Roman"/>
          <w:b/>
          <w:bCs/>
        </w:rPr>
        <w:t>migration</w:t>
      </w:r>
      <w:r w:rsidRPr="0094599A">
        <w:rPr>
          <w:rFonts w:ascii="Times New Roman" w:hAnsi="Times New Roman"/>
          <w:b/>
          <w:bCs/>
        </w:rPr>
        <w:t>.</w:t>
      </w:r>
    </w:p>
    <w:p w14:paraId="4AC80B5A" w14:textId="77777777" w:rsidR="0094599A" w:rsidRPr="0094599A" w:rsidRDefault="0094599A" w:rsidP="00D51FF0">
      <w:pPr>
        <w:rPr>
          <w:rFonts w:ascii="Times New Roman" w:hAnsi="Times New Roman"/>
          <w:b/>
          <w:bCs/>
        </w:rPr>
      </w:pPr>
    </w:p>
    <w:p w14:paraId="4EB48F32" w14:textId="5039018C" w:rsidR="00C43A1B" w:rsidRPr="00C43A1B" w:rsidRDefault="00C43A1B" w:rsidP="00C43A1B">
      <w:pPr>
        <w:rPr>
          <w:rFonts w:ascii="Times New Roman" w:hAnsi="Times New Roman"/>
          <w:b/>
          <w:bCs/>
        </w:rPr>
      </w:pPr>
      <w:r w:rsidRPr="00C43A1B">
        <w:rPr>
          <w:rFonts w:ascii="Times New Roman" w:hAnsi="Times New Roman"/>
          <w:b/>
          <w:bCs/>
        </w:rPr>
        <w:lastRenderedPageBreak/>
        <w:t xml:space="preserve">Proposal </w:t>
      </w:r>
      <w:r w:rsidR="0094599A">
        <w:rPr>
          <w:rFonts w:ascii="Times New Roman" w:hAnsi="Times New Roman"/>
          <w:b/>
          <w:bCs/>
        </w:rPr>
        <w:t>1</w:t>
      </w:r>
      <w:r w:rsidRPr="00C43A1B">
        <w:rPr>
          <w:rFonts w:ascii="Times New Roman" w:hAnsi="Times New Roman"/>
          <w:b/>
          <w:bCs/>
        </w:rPr>
        <w:t>: The IAB-DU of a mobile IAB-node may be migrated toward a target F1 terminating donor-CU different from the non-F1 terminating donor-CU serving the co-located IAB-MT.</w:t>
      </w:r>
    </w:p>
    <w:p w14:paraId="25252865" w14:textId="35FD4794" w:rsidR="00461E34" w:rsidRDefault="00D51FF0" w:rsidP="00D51FF0">
      <w:pPr>
        <w:rPr>
          <w:rFonts w:ascii="Times New Roman" w:hAnsi="Times New Roman"/>
          <w:b/>
          <w:bCs/>
          <w:lang w:val="en-GB"/>
        </w:rPr>
      </w:pPr>
      <w:r w:rsidRPr="0090745E">
        <w:rPr>
          <w:rFonts w:ascii="Times New Roman" w:hAnsi="Times New Roman"/>
          <w:b/>
          <w:bCs/>
          <w:lang w:val="en-GB"/>
        </w:rPr>
        <w:t xml:space="preserve">Proposal </w:t>
      </w:r>
      <w:r w:rsidR="0094599A">
        <w:rPr>
          <w:rFonts w:ascii="Times New Roman" w:hAnsi="Times New Roman"/>
          <w:b/>
          <w:bCs/>
          <w:lang w:val="en-GB"/>
        </w:rPr>
        <w:t>2</w:t>
      </w:r>
      <w:r w:rsidRPr="0090745E">
        <w:rPr>
          <w:rFonts w:ascii="Times New Roman" w:hAnsi="Times New Roman"/>
          <w:b/>
          <w:bCs/>
          <w:lang w:val="en-GB"/>
        </w:rPr>
        <w:t xml:space="preserve">: When requested </w:t>
      </w:r>
      <w:r w:rsidR="00AF3B59">
        <w:rPr>
          <w:rFonts w:ascii="Times New Roman" w:hAnsi="Times New Roman"/>
          <w:b/>
          <w:bCs/>
          <w:lang w:val="en-GB"/>
        </w:rPr>
        <w:t xml:space="preserve">by its serving </w:t>
      </w:r>
      <w:r w:rsidR="00AF3B59" w:rsidRPr="00A71F3F">
        <w:rPr>
          <w:rFonts w:ascii="Times New Roman" w:hAnsi="Times New Roman"/>
          <w:b/>
          <w:bCs/>
          <w:lang w:val="en-GB"/>
        </w:rPr>
        <w:t>F1 donor CU</w:t>
      </w:r>
      <w:r w:rsidR="00AF3B59">
        <w:rPr>
          <w:rFonts w:ascii="Times New Roman" w:hAnsi="Times New Roman"/>
          <w:b/>
          <w:bCs/>
          <w:lang w:val="en-GB"/>
        </w:rPr>
        <w:t xml:space="preserve"> </w:t>
      </w:r>
      <w:r w:rsidRPr="0090745E">
        <w:rPr>
          <w:rFonts w:ascii="Times New Roman" w:hAnsi="Times New Roman"/>
          <w:b/>
          <w:bCs/>
          <w:lang w:val="en-GB"/>
        </w:rPr>
        <w:t>to setup a new F1 connection, a</w:t>
      </w:r>
      <w:r>
        <w:rPr>
          <w:rFonts w:ascii="Times New Roman" w:hAnsi="Times New Roman"/>
          <w:b/>
          <w:bCs/>
          <w:lang w:val="en-GB"/>
        </w:rPr>
        <w:t xml:space="preserve"> mobile</w:t>
      </w:r>
      <w:r w:rsidRPr="0090745E">
        <w:rPr>
          <w:rFonts w:ascii="Times New Roman" w:hAnsi="Times New Roman"/>
          <w:b/>
          <w:bCs/>
          <w:lang w:val="en-GB"/>
        </w:rPr>
        <w:t xml:space="preserve"> IAB-node </w:t>
      </w:r>
      <w:r>
        <w:rPr>
          <w:rFonts w:ascii="Times New Roman" w:hAnsi="Times New Roman"/>
          <w:b/>
          <w:bCs/>
          <w:lang w:val="en-GB"/>
        </w:rPr>
        <w:t xml:space="preserve">may </w:t>
      </w:r>
      <w:r w:rsidRPr="0090745E">
        <w:rPr>
          <w:rFonts w:ascii="Times New Roman" w:hAnsi="Times New Roman"/>
          <w:b/>
          <w:bCs/>
          <w:lang w:val="en-GB"/>
        </w:rPr>
        <w:t xml:space="preserve">execute a F1 setup procedure with the target F1 donor-CU indicated in the request. </w:t>
      </w:r>
      <w:r w:rsidR="00AF3B59">
        <w:rPr>
          <w:rFonts w:ascii="Times New Roman" w:hAnsi="Times New Roman"/>
          <w:b/>
          <w:bCs/>
          <w:lang w:val="en-GB"/>
        </w:rPr>
        <w:t>In the absence of</w:t>
      </w:r>
      <w:r w:rsidR="00AF3B59" w:rsidRPr="0090745E" w:rsidDel="00AF3B59">
        <w:rPr>
          <w:rFonts w:ascii="Times New Roman" w:hAnsi="Times New Roman"/>
          <w:b/>
          <w:bCs/>
          <w:lang w:val="en-GB"/>
        </w:rPr>
        <w:t xml:space="preserve"> </w:t>
      </w:r>
      <w:r w:rsidR="00AF3B59">
        <w:rPr>
          <w:rFonts w:ascii="Times New Roman" w:hAnsi="Times New Roman"/>
          <w:b/>
          <w:bCs/>
          <w:lang w:val="en-GB"/>
        </w:rPr>
        <w:t xml:space="preserve">such </w:t>
      </w:r>
      <w:r w:rsidRPr="0090745E">
        <w:rPr>
          <w:rFonts w:ascii="Times New Roman" w:hAnsi="Times New Roman"/>
          <w:b/>
          <w:bCs/>
          <w:lang w:val="en-GB"/>
        </w:rPr>
        <w:t xml:space="preserve">indication, the </w:t>
      </w:r>
      <w:r>
        <w:rPr>
          <w:rFonts w:ascii="Times New Roman" w:hAnsi="Times New Roman"/>
          <w:b/>
          <w:bCs/>
          <w:lang w:val="en-GB"/>
        </w:rPr>
        <w:t xml:space="preserve">mobile </w:t>
      </w:r>
      <w:r w:rsidRPr="0090745E">
        <w:rPr>
          <w:rFonts w:ascii="Times New Roman" w:hAnsi="Times New Roman"/>
          <w:b/>
          <w:bCs/>
          <w:lang w:val="en-GB"/>
        </w:rPr>
        <w:t>IAB-node execute</w:t>
      </w:r>
      <w:r>
        <w:rPr>
          <w:rFonts w:ascii="Times New Roman" w:hAnsi="Times New Roman"/>
          <w:b/>
          <w:bCs/>
          <w:lang w:val="en-GB"/>
        </w:rPr>
        <w:t>s</w:t>
      </w:r>
      <w:r w:rsidRPr="0090745E">
        <w:rPr>
          <w:rFonts w:ascii="Times New Roman" w:hAnsi="Times New Roman"/>
          <w:b/>
          <w:bCs/>
          <w:lang w:val="en-GB"/>
        </w:rPr>
        <w:t xml:space="preserve"> the F1 setup procedure with the non-F1 terminating donor-CU.</w:t>
      </w:r>
    </w:p>
    <w:p w14:paraId="53072D36" w14:textId="3EEB5FD5" w:rsidR="00D51FF0" w:rsidRDefault="00461E34" w:rsidP="00D51FF0">
      <w:pPr>
        <w:rPr>
          <w:rFonts w:ascii="Times New Roman" w:hAnsi="Times New Roman"/>
          <w:b/>
          <w:bCs/>
          <w:lang w:val="en-GB"/>
        </w:rPr>
      </w:pPr>
      <w:r w:rsidRPr="00461E34">
        <w:rPr>
          <w:rFonts w:ascii="Times New Roman" w:hAnsi="Times New Roman"/>
          <w:b/>
          <w:bCs/>
          <w:lang w:val="en-GB"/>
        </w:rPr>
        <w:t>Proposal 3: The non-F1 terminating donor-CU of a mobile IAB-node should inform the F1 terminating donor before executing a MT handover of the mobile IAB-node.</w:t>
      </w:r>
    </w:p>
    <w:p w14:paraId="34F81373" w14:textId="4C11218D" w:rsidR="00D51FF0" w:rsidRDefault="00D51FF0" w:rsidP="00D51FF0">
      <w:pPr>
        <w:rPr>
          <w:rFonts w:ascii="Times New Roman" w:hAnsi="Times New Roman"/>
          <w:b/>
          <w:bCs/>
          <w:lang w:val="en-GB"/>
        </w:rPr>
      </w:pPr>
      <w:r w:rsidRPr="0090745E">
        <w:rPr>
          <w:rFonts w:ascii="Times New Roman" w:hAnsi="Times New Roman"/>
          <w:b/>
          <w:bCs/>
          <w:lang w:val="en-GB"/>
        </w:rPr>
        <w:t xml:space="preserve">Proposal </w:t>
      </w:r>
      <w:r w:rsidR="00C43A1B">
        <w:rPr>
          <w:rFonts w:ascii="Times New Roman" w:hAnsi="Times New Roman"/>
          <w:b/>
          <w:bCs/>
          <w:lang w:val="en-GB"/>
        </w:rPr>
        <w:t>4</w:t>
      </w:r>
      <w:r w:rsidRPr="0090745E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90745E">
        <w:rPr>
          <w:rFonts w:ascii="Times New Roman" w:hAnsi="Times New Roman"/>
          <w:b/>
          <w:bCs/>
          <w:lang w:val="en-GB"/>
        </w:rPr>
        <w:t>NG-RAN node configuration update procedure</w:t>
      </w:r>
      <w:r>
        <w:rPr>
          <w:rFonts w:ascii="Times New Roman" w:hAnsi="Times New Roman"/>
          <w:b/>
          <w:bCs/>
          <w:lang w:val="en-GB"/>
        </w:rPr>
        <w:t xml:space="preserve"> may be used by the target F1 terminating donor-CU of a mobile IAB-node to inform the source F1 terminating donor-CU about the ID(s) of </w:t>
      </w:r>
      <w:r w:rsidR="00AF3B59">
        <w:rPr>
          <w:rFonts w:ascii="Times New Roman" w:hAnsi="Times New Roman"/>
          <w:b/>
          <w:bCs/>
          <w:lang w:val="en-GB"/>
        </w:rPr>
        <w:t xml:space="preserve">the </w:t>
      </w:r>
      <w:r>
        <w:rPr>
          <w:rFonts w:ascii="Times New Roman" w:hAnsi="Times New Roman"/>
          <w:b/>
          <w:bCs/>
          <w:lang w:val="en-GB"/>
        </w:rPr>
        <w:t>cell</w:t>
      </w:r>
      <w:r w:rsidR="00992B94">
        <w:rPr>
          <w:rFonts w:ascii="Times New Roman" w:hAnsi="Times New Roman"/>
          <w:b/>
          <w:bCs/>
          <w:lang w:val="en-GB"/>
        </w:rPr>
        <w:t>(</w:t>
      </w:r>
      <w:r>
        <w:rPr>
          <w:rFonts w:ascii="Times New Roman" w:hAnsi="Times New Roman"/>
          <w:b/>
          <w:bCs/>
          <w:lang w:val="en-GB"/>
        </w:rPr>
        <w:t>s</w:t>
      </w:r>
      <w:r w:rsidR="00992B94">
        <w:rPr>
          <w:rFonts w:ascii="Times New Roman" w:hAnsi="Times New Roman"/>
          <w:b/>
          <w:bCs/>
          <w:lang w:val="en-GB"/>
        </w:rPr>
        <w:t>)</w:t>
      </w:r>
      <w:r>
        <w:rPr>
          <w:rFonts w:ascii="Times New Roman" w:hAnsi="Times New Roman"/>
          <w:b/>
          <w:bCs/>
          <w:lang w:val="en-GB"/>
        </w:rPr>
        <w:t xml:space="preserve"> served by the second logical DU of the mobile IAB-node</w:t>
      </w:r>
      <w:r w:rsidRPr="0090745E">
        <w:rPr>
          <w:rFonts w:ascii="Times New Roman" w:hAnsi="Times New Roman"/>
          <w:b/>
          <w:bCs/>
          <w:lang w:val="en-GB"/>
        </w:rPr>
        <w:t xml:space="preserve">. </w:t>
      </w:r>
    </w:p>
    <w:p w14:paraId="46AE2E38" w14:textId="5E2D8F15" w:rsidR="0006349A" w:rsidRPr="00BF18B2" w:rsidRDefault="0006349A" w:rsidP="0006349A">
      <w:pPr>
        <w:rPr>
          <w:rFonts w:ascii="Times New Roman" w:hAnsi="Times New Roman"/>
          <w:b/>
          <w:bCs/>
        </w:rPr>
      </w:pPr>
      <w:r w:rsidRPr="00BF18B2">
        <w:rPr>
          <w:rFonts w:ascii="Times New Roman" w:hAnsi="Times New Roman"/>
          <w:b/>
          <w:bCs/>
        </w:rPr>
        <w:t xml:space="preserve">Proposal </w:t>
      </w:r>
      <w:r w:rsidR="00461E34">
        <w:rPr>
          <w:rFonts w:ascii="Times New Roman" w:hAnsi="Times New Roman"/>
          <w:b/>
          <w:bCs/>
        </w:rPr>
        <w:t>5</w:t>
      </w:r>
      <w:r w:rsidRPr="00BF18B2">
        <w:rPr>
          <w:rFonts w:ascii="Times New Roman" w:hAnsi="Times New Roman"/>
          <w:b/>
          <w:bCs/>
        </w:rPr>
        <w:t>: The target F1 donor-CU for the migration of a mobile IAB-DU should be informed about the current non-F1 donor-CU serving the co-located mobile IAB-MT IAB.</w:t>
      </w:r>
    </w:p>
    <w:p w14:paraId="12CF3293" w14:textId="77777777" w:rsidR="006D1853" w:rsidRPr="006D1853" w:rsidRDefault="006D1853" w:rsidP="006D1853">
      <w:pPr>
        <w:rPr>
          <w:rFonts w:ascii="Times New Roman" w:hAnsi="Times New Roman"/>
          <w:b/>
          <w:bCs/>
          <w:lang w:val="en-GB"/>
        </w:rPr>
      </w:pPr>
    </w:p>
    <w:p w14:paraId="31D3F331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4955FA6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018352BA" w14:textId="373C7689" w:rsidR="002F2559" w:rsidRPr="00656DB2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 xml:space="preserve">1] </w:t>
      </w:r>
      <w:r w:rsidR="00201F60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201F60">
        <w:rPr>
          <w:rFonts w:ascii="Times New Roman" w:hAnsi="Times New Roman"/>
          <w:sz w:val="20"/>
          <w:lang w:val="en-US" w:eastAsia="zh-CN"/>
        </w:rPr>
        <w:t>7</w:t>
      </w:r>
      <w:r w:rsidR="00201F60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50D60070" w14:textId="14B6D553" w:rsidR="00201F60" w:rsidRDefault="007A35BE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B817AD" w:rsidRPr="00280DB3">
        <w:rPr>
          <w:rFonts w:ascii="Times New Roman" w:hAnsi="Times New Roman"/>
          <w:sz w:val="20"/>
          <w:szCs w:val="20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="00AD780E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AD780E">
        <w:rPr>
          <w:rFonts w:ascii="Times New Roman" w:hAnsi="Times New Roman"/>
          <w:sz w:val="20"/>
          <w:lang w:val="en-US" w:eastAsia="zh-CN"/>
        </w:rPr>
        <w:t>7</w:t>
      </w:r>
      <w:r w:rsidR="00201F60">
        <w:rPr>
          <w:rFonts w:ascii="Times New Roman" w:hAnsi="Times New Roman"/>
          <w:sz w:val="20"/>
          <w:lang w:val="en-US" w:eastAsia="zh-CN"/>
        </w:rPr>
        <w:t>-bis-</w:t>
      </w:r>
      <w:r w:rsidR="00AD780E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59E1F3AA" w14:textId="26085E45" w:rsidR="0094599A" w:rsidRPr="00201F60" w:rsidRDefault="0094599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  <w:lang w:val="en-US"/>
        </w:rPr>
        <w:t>3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>
        <w:rPr>
          <w:rFonts w:ascii="Times New Roman" w:hAnsi="Times New Roman"/>
          <w:sz w:val="20"/>
          <w:lang w:val="en-US" w:eastAsia="zh-CN"/>
        </w:rPr>
        <w:t>8</w:t>
      </w:r>
      <w:r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45228F58" w14:textId="77777777" w:rsidR="0094599A" w:rsidRPr="00201F60" w:rsidRDefault="0094599A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</w:p>
    <w:p w14:paraId="2E021F86" w14:textId="208E4E4A" w:rsidR="001239C8" w:rsidRPr="00656DB2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</w:p>
    <w:sectPr w:rsidR="001239C8" w:rsidRPr="00656DB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10DDE" w14:textId="77777777" w:rsidR="00F21FE3" w:rsidRDefault="00F21FE3" w:rsidP="00796430">
      <w:r>
        <w:separator/>
      </w:r>
    </w:p>
  </w:endnote>
  <w:endnote w:type="continuationSeparator" w:id="0">
    <w:p w14:paraId="13744ACD" w14:textId="77777777" w:rsidR="00F21FE3" w:rsidRDefault="00F21FE3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AB02F" w14:textId="77777777" w:rsidR="00F21FE3" w:rsidRDefault="00F21FE3" w:rsidP="00796430">
      <w:r>
        <w:separator/>
      </w:r>
    </w:p>
  </w:footnote>
  <w:footnote w:type="continuationSeparator" w:id="0">
    <w:p w14:paraId="18CB2BF2" w14:textId="77777777" w:rsidR="00F21FE3" w:rsidRDefault="00F21FE3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1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4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8"/>
  </w:num>
  <w:num w:numId="5">
    <w:abstractNumId w:val="19"/>
  </w:num>
  <w:num w:numId="6">
    <w:abstractNumId w:val="9"/>
  </w:num>
  <w:num w:numId="7">
    <w:abstractNumId w:val="5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4"/>
  </w:num>
  <w:num w:numId="11">
    <w:abstractNumId w:val="12"/>
  </w:num>
  <w:num w:numId="12">
    <w:abstractNumId w:val="28"/>
  </w:num>
  <w:num w:numId="13">
    <w:abstractNumId w:val="7"/>
  </w:num>
  <w:num w:numId="14">
    <w:abstractNumId w:val="23"/>
  </w:num>
  <w:num w:numId="15">
    <w:abstractNumId w:val="22"/>
  </w:num>
  <w:num w:numId="16">
    <w:abstractNumId w:val="0"/>
  </w:num>
  <w:num w:numId="17">
    <w:abstractNumId w:val="27"/>
  </w:num>
  <w:num w:numId="18">
    <w:abstractNumId w:val="20"/>
  </w:num>
  <w:num w:numId="19">
    <w:abstractNumId w:val="10"/>
  </w:num>
  <w:num w:numId="20">
    <w:abstractNumId w:val="26"/>
  </w:num>
  <w:num w:numId="21">
    <w:abstractNumId w:val="3"/>
  </w:num>
  <w:num w:numId="22">
    <w:abstractNumId w:val="2"/>
  </w:num>
  <w:num w:numId="23">
    <w:abstractNumId w:val="6"/>
  </w:num>
  <w:num w:numId="24">
    <w:abstractNumId w:val="24"/>
  </w:num>
  <w:num w:numId="25">
    <w:abstractNumId w:val="16"/>
  </w:num>
  <w:num w:numId="26">
    <w:abstractNumId w:val="25"/>
  </w:num>
  <w:num w:numId="27">
    <w:abstractNumId w:val="18"/>
  </w:num>
  <w:num w:numId="28">
    <w:abstractNumId w:val="17"/>
  </w:num>
  <w:num w:numId="29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E19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1B99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67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939"/>
    <w:rsid w:val="00062F6C"/>
    <w:rsid w:val="0006349A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DCA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15E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48C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5A6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E25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AEA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02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1D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7C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53A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166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1A48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3C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0D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1E34"/>
    <w:rsid w:val="004623B9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294"/>
    <w:rsid w:val="004D56F7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CE3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00"/>
    <w:rsid w:val="004F6423"/>
    <w:rsid w:val="004F6462"/>
    <w:rsid w:val="004F6A55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AE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4F2F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CFD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BCD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8B6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814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D0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4D69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0EA3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278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6D9"/>
    <w:rsid w:val="006B4A74"/>
    <w:rsid w:val="006B558D"/>
    <w:rsid w:val="006B5735"/>
    <w:rsid w:val="006B5E5B"/>
    <w:rsid w:val="006B6316"/>
    <w:rsid w:val="006B65DA"/>
    <w:rsid w:val="006B687A"/>
    <w:rsid w:val="006B6F2F"/>
    <w:rsid w:val="006B7110"/>
    <w:rsid w:val="006B7262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6A6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6F7191"/>
    <w:rsid w:val="00700066"/>
    <w:rsid w:val="007001EE"/>
    <w:rsid w:val="007003A2"/>
    <w:rsid w:val="007003BA"/>
    <w:rsid w:val="00700621"/>
    <w:rsid w:val="007007B4"/>
    <w:rsid w:val="00700938"/>
    <w:rsid w:val="00700C4D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17F64"/>
    <w:rsid w:val="0072046B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AA6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52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F4A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59C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569"/>
    <w:rsid w:val="00870700"/>
    <w:rsid w:val="008711B2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9A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D25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3B4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427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2F81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1F8A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07FD1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3E64"/>
    <w:rsid w:val="00A6401D"/>
    <w:rsid w:val="00A64510"/>
    <w:rsid w:val="00A6476E"/>
    <w:rsid w:val="00A64C84"/>
    <w:rsid w:val="00A64E07"/>
    <w:rsid w:val="00A64F10"/>
    <w:rsid w:val="00A64F3C"/>
    <w:rsid w:val="00A6514A"/>
    <w:rsid w:val="00A65433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3F57"/>
    <w:rsid w:val="00AB4312"/>
    <w:rsid w:val="00AB45FF"/>
    <w:rsid w:val="00AB4701"/>
    <w:rsid w:val="00AB47C2"/>
    <w:rsid w:val="00AB4E37"/>
    <w:rsid w:val="00AB502E"/>
    <w:rsid w:val="00AB539B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3D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066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3EC6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C40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504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575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23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0EBC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745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72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8B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C7D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8D0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12B4"/>
    <w:rsid w:val="00C1220C"/>
    <w:rsid w:val="00C1251B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0D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798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8F3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82F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96D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18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8F5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BA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01B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1AE4"/>
    <w:rsid w:val="00EA22F1"/>
    <w:rsid w:val="00EA2715"/>
    <w:rsid w:val="00EA2804"/>
    <w:rsid w:val="00EA283D"/>
    <w:rsid w:val="00EA2880"/>
    <w:rsid w:val="00EA3356"/>
    <w:rsid w:val="00EA3BFA"/>
    <w:rsid w:val="00EA3D17"/>
    <w:rsid w:val="00EA3EA5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EF7D3A"/>
    <w:rsid w:val="00F001EA"/>
    <w:rsid w:val="00F003BD"/>
    <w:rsid w:val="00F004C0"/>
    <w:rsid w:val="00F00575"/>
    <w:rsid w:val="00F00A74"/>
    <w:rsid w:val="00F00B9F"/>
    <w:rsid w:val="00F00BFA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25F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1FE3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7A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</TotalTime>
  <Pages>4</Pages>
  <Words>1721</Words>
  <Characters>9471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Huawei Technologies Co.,Ltd.</Company>
  <LinksUpToDate>false</LinksUpToDate>
  <CharactersWithSpaces>11170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3</cp:revision>
  <cp:lastPrinted>2016-09-19T04:11:00Z</cp:lastPrinted>
  <dcterms:created xsi:type="dcterms:W3CDTF">2023-02-14T17:35:00Z</dcterms:created>
  <dcterms:modified xsi:type="dcterms:W3CDTF">2023-02-14T17:38:00Z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